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34" w:rsidRPr="00DD3B98" w:rsidRDefault="00323659" w:rsidP="00323659">
      <w:pPr>
        <w:jc w:val="center"/>
        <w:rPr>
          <w:rFonts w:ascii="標楷體" w:eastAsia="標楷體" w:hAnsi="標楷體" w:cs="Times New Roman"/>
          <w:sz w:val="56"/>
          <w:szCs w:val="56"/>
        </w:rPr>
      </w:pPr>
      <w:r w:rsidRPr="00DD3B98">
        <w:rPr>
          <w:rFonts w:ascii="標楷體" w:eastAsia="標楷體" w:hAnsi="標楷體" w:cs="Times New Roman"/>
          <w:sz w:val="56"/>
          <w:szCs w:val="56"/>
        </w:rPr>
        <w:t>水蓮山莊管理委員會簽辦單</w:t>
      </w:r>
    </w:p>
    <w:tbl>
      <w:tblPr>
        <w:tblStyle w:val="a3"/>
        <w:tblW w:w="0" w:type="auto"/>
        <w:tblInd w:w="250" w:type="dxa"/>
        <w:tblLook w:val="04A0" w:firstRow="1" w:lastRow="0" w:firstColumn="1" w:lastColumn="0" w:noHBand="0" w:noVBand="1"/>
      </w:tblPr>
      <w:tblGrid>
        <w:gridCol w:w="536"/>
        <w:gridCol w:w="699"/>
        <w:gridCol w:w="3565"/>
        <w:gridCol w:w="611"/>
        <w:gridCol w:w="4307"/>
      </w:tblGrid>
      <w:tr w:rsidR="00323659" w:rsidRPr="00DD3B98" w:rsidTr="0094325E">
        <w:trPr>
          <w:trHeight w:val="4874"/>
        </w:trPr>
        <w:tc>
          <w:tcPr>
            <w:tcW w:w="9718" w:type="dxa"/>
            <w:gridSpan w:val="5"/>
          </w:tcPr>
          <w:p w:rsidR="00323659" w:rsidRPr="00DD3B98" w:rsidRDefault="00323659" w:rsidP="00283A31">
            <w:pPr>
              <w:spacing w:beforeLines="50" w:before="180" w:line="400" w:lineRule="exact"/>
              <w:rPr>
                <w:rFonts w:ascii="標楷體" w:eastAsia="標楷體" w:hAnsi="標楷體" w:cs="Times New Roman"/>
                <w:sz w:val="36"/>
                <w:szCs w:val="36"/>
              </w:rPr>
            </w:pPr>
            <w:r w:rsidRPr="00DD3B98">
              <w:rPr>
                <w:rFonts w:ascii="標楷體" w:eastAsia="標楷體" w:hAnsi="標楷體" w:cs="Times New Roman"/>
                <w:sz w:val="36"/>
                <w:szCs w:val="36"/>
              </w:rPr>
              <w:t>案由:</w:t>
            </w:r>
            <w:r w:rsidR="008922DA" w:rsidRPr="00DD3B98">
              <w:rPr>
                <w:rFonts w:ascii="標楷體" w:eastAsia="標楷體" w:hAnsi="標楷體" w:cs="Times New Roman"/>
                <w:sz w:val="36"/>
                <w:szCs w:val="36"/>
              </w:rPr>
              <w:t>社區</w:t>
            </w:r>
            <w:r w:rsidR="00354175" w:rsidRPr="00354175">
              <w:rPr>
                <w:rFonts w:ascii="標楷體" w:eastAsia="標楷體" w:hAnsi="標楷體" w:cs="Times New Roman" w:hint="eastAsia"/>
                <w:sz w:val="36"/>
                <w:szCs w:val="36"/>
              </w:rPr>
              <w:t>保險招商公告</w:t>
            </w:r>
          </w:p>
          <w:p w:rsidR="00323659" w:rsidRPr="00DD3B98" w:rsidRDefault="00323659" w:rsidP="00283A31">
            <w:pPr>
              <w:spacing w:beforeLines="50" w:before="180" w:line="400" w:lineRule="exact"/>
              <w:rPr>
                <w:rFonts w:ascii="標楷體" w:eastAsia="標楷體" w:hAnsi="標楷體" w:cs="Times New Roman"/>
                <w:sz w:val="36"/>
                <w:szCs w:val="36"/>
              </w:rPr>
            </w:pPr>
            <w:r w:rsidRPr="00DD3B98">
              <w:rPr>
                <w:rFonts w:ascii="標楷體" w:eastAsia="標楷體" w:hAnsi="標楷體" w:cs="Times New Roman"/>
                <w:sz w:val="36"/>
                <w:szCs w:val="36"/>
              </w:rPr>
              <w:t>說明:</w:t>
            </w:r>
          </w:p>
          <w:p w:rsidR="005C2FEB" w:rsidRPr="00DD3B98" w:rsidRDefault="005C2FEB" w:rsidP="00354175">
            <w:pPr>
              <w:spacing w:beforeLines="50" w:before="180" w:line="400" w:lineRule="exact"/>
              <w:ind w:left="1080" w:hangingChars="300" w:hanging="1080"/>
              <w:rPr>
                <w:rFonts w:ascii="標楷體" w:eastAsia="標楷體" w:hAnsi="標楷體" w:cs="Times New Roman"/>
                <w:sz w:val="36"/>
                <w:szCs w:val="36"/>
              </w:rPr>
            </w:pPr>
            <w:r w:rsidRPr="00DD3B98">
              <w:rPr>
                <w:rFonts w:ascii="標楷體" w:eastAsia="標楷體" w:hAnsi="標楷體" w:cs="Times New Roman"/>
                <w:sz w:val="36"/>
                <w:szCs w:val="36"/>
              </w:rPr>
              <w:t xml:space="preserve">      </w:t>
            </w:r>
            <w:r w:rsidR="00D74390">
              <w:rPr>
                <w:rFonts w:ascii="標楷體" w:eastAsia="標楷體" w:hAnsi="標楷體" w:cs="Times New Roman" w:hint="eastAsia"/>
                <w:sz w:val="36"/>
                <w:szCs w:val="36"/>
              </w:rPr>
              <w:t>依據管理委員會第十</w:t>
            </w:r>
            <w:r w:rsidR="0094325E">
              <w:rPr>
                <w:rFonts w:ascii="標楷體" w:eastAsia="標楷體" w:hAnsi="標楷體" w:cs="Times New Roman" w:hint="eastAsia"/>
                <w:sz w:val="36"/>
                <w:szCs w:val="36"/>
              </w:rPr>
              <w:t>六</w:t>
            </w:r>
            <w:r w:rsidR="00D74390">
              <w:rPr>
                <w:rFonts w:ascii="標楷體" w:eastAsia="標楷體" w:hAnsi="標楷體" w:cs="Times New Roman" w:hint="eastAsia"/>
                <w:sz w:val="36"/>
                <w:szCs w:val="36"/>
              </w:rPr>
              <w:t>屆第</w:t>
            </w:r>
            <w:r w:rsidR="0094325E">
              <w:rPr>
                <w:rFonts w:ascii="標楷體" w:eastAsia="標楷體" w:hAnsi="標楷體" w:cs="Times New Roman" w:hint="eastAsia"/>
                <w:sz w:val="36"/>
                <w:szCs w:val="36"/>
              </w:rPr>
              <w:t>一</w:t>
            </w:r>
            <w:r w:rsidR="00D74390">
              <w:rPr>
                <w:rFonts w:ascii="標楷體" w:eastAsia="標楷體" w:hAnsi="標楷體" w:cs="Times New Roman" w:hint="eastAsia"/>
                <w:sz w:val="36"/>
                <w:szCs w:val="36"/>
              </w:rPr>
              <w:t>次管委會</w:t>
            </w:r>
            <w:r w:rsidR="0094325E">
              <w:rPr>
                <w:rFonts w:ascii="標楷體" w:eastAsia="標楷體" w:hAnsi="標楷體" w:cs="Times New Roman" w:hint="eastAsia"/>
                <w:sz w:val="36"/>
                <w:szCs w:val="36"/>
              </w:rPr>
              <w:t>會</w:t>
            </w:r>
            <w:r w:rsidR="00354175" w:rsidRPr="00354175">
              <w:rPr>
                <w:rFonts w:ascii="標楷體" w:eastAsia="標楷體" w:hAnsi="標楷體" w:cs="Times New Roman" w:hint="eastAsia"/>
                <w:sz w:val="36"/>
                <w:szCs w:val="36"/>
              </w:rPr>
              <w:t>議決議</w:t>
            </w:r>
            <w:r w:rsidR="002F5362">
              <w:rPr>
                <w:rFonts w:ascii="標楷體" w:eastAsia="標楷體" w:hAnsi="標楷體" w:cs="Times New Roman" w:hint="eastAsia"/>
                <w:sz w:val="36"/>
                <w:szCs w:val="36"/>
              </w:rPr>
              <w:t>辦理</w:t>
            </w:r>
            <w:r w:rsidR="002F5362">
              <w:rPr>
                <w:rFonts w:ascii="標楷體" w:eastAsia="SimSun" w:hAnsi="標楷體" w:cs="Times New Roman" w:hint="eastAsia"/>
                <w:sz w:val="36"/>
                <w:szCs w:val="36"/>
              </w:rPr>
              <w:t>，</w:t>
            </w:r>
            <w:r w:rsidR="00354175" w:rsidRPr="00354175">
              <w:rPr>
                <w:rFonts w:ascii="標楷體" w:eastAsia="標楷體" w:hAnsi="標楷體" w:cs="Times New Roman" w:hint="eastAsia"/>
                <w:sz w:val="36"/>
                <w:szCs w:val="36"/>
              </w:rPr>
              <w:t>招標公告詳如附件。</w:t>
            </w:r>
          </w:p>
          <w:p w:rsidR="00573A02" w:rsidRPr="00DD3B98" w:rsidRDefault="00573A02" w:rsidP="00283A31">
            <w:pPr>
              <w:spacing w:beforeLines="50" w:before="180" w:line="400" w:lineRule="exact"/>
              <w:rPr>
                <w:rFonts w:ascii="標楷體" w:eastAsia="標楷體" w:hAnsi="標楷體" w:cs="Times New Roman"/>
                <w:sz w:val="36"/>
                <w:szCs w:val="36"/>
              </w:rPr>
            </w:pPr>
          </w:p>
        </w:tc>
      </w:tr>
      <w:tr w:rsidR="00323659" w:rsidRPr="00DD3B98" w:rsidTr="0094325E">
        <w:trPr>
          <w:trHeight w:val="2820"/>
        </w:trPr>
        <w:tc>
          <w:tcPr>
            <w:tcW w:w="536" w:type="dxa"/>
            <w:vMerge w:val="restart"/>
          </w:tcPr>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會</w:t>
            </w:r>
          </w:p>
          <w:p w:rsidR="00323659" w:rsidRPr="00DD3B98" w:rsidRDefault="00323659"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辦</w:t>
            </w:r>
          </w:p>
          <w:p w:rsidR="00323659" w:rsidRPr="00DD3B98" w:rsidRDefault="00323659"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單</w:t>
            </w:r>
          </w:p>
          <w:p w:rsidR="00323659" w:rsidRPr="00DD3B98" w:rsidRDefault="00323659"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位</w:t>
            </w:r>
          </w:p>
          <w:p w:rsidR="00323659" w:rsidRPr="00DD3B98" w:rsidRDefault="00323659"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p>
        </w:tc>
        <w:tc>
          <w:tcPr>
            <w:tcW w:w="699" w:type="dxa"/>
          </w:tcPr>
          <w:p w:rsidR="00323659" w:rsidRPr="00DD3B98" w:rsidRDefault="00147EEA" w:rsidP="00323659">
            <w:pPr>
              <w:rPr>
                <w:rFonts w:ascii="標楷體" w:eastAsia="標楷體" w:hAnsi="標楷體" w:cs="Times New Roman"/>
                <w:sz w:val="32"/>
                <w:szCs w:val="32"/>
              </w:rPr>
            </w:pPr>
            <w:r>
              <w:rPr>
                <w:rFonts w:ascii="標楷體" w:eastAsia="標楷體" w:hAnsi="標楷體" w:cs="Times New Roman"/>
                <w:sz w:val="32"/>
                <w:szCs w:val="32"/>
              </w:rPr>
              <w:t>監</w:t>
            </w:r>
          </w:p>
          <w:p w:rsidR="00E710E1" w:rsidRPr="00DD3B98" w:rsidRDefault="00147EEA" w:rsidP="00323659">
            <w:pPr>
              <w:rPr>
                <w:rFonts w:ascii="標楷體" w:eastAsia="標楷體" w:hAnsi="標楷體" w:cs="Times New Roman"/>
                <w:sz w:val="32"/>
                <w:szCs w:val="32"/>
              </w:rPr>
            </w:pPr>
            <w:r>
              <w:rPr>
                <w:rFonts w:ascii="標楷體" w:eastAsia="標楷體" w:hAnsi="標楷體" w:cs="Times New Roman"/>
                <w:sz w:val="32"/>
                <w:szCs w:val="32"/>
              </w:rPr>
              <w:t>察</w:t>
            </w:r>
          </w:p>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組</w:t>
            </w:r>
          </w:p>
        </w:tc>
        <w:tc>
          <w:tcPr>
            <w:tcW w:w="3565" w:type="dxa"/>
          </w:tcPr>
          <w:p w:rsidR="00323659" w:rsidRPr="00DD3B98" w:rsidRDefault="00323659" w:rsidP="00323659">
            <w:pPr>
              <w:rPr>
                <w:rFonts w:ascii="標楷體" w:eastAsia="標楷體" w:hAnsi="標楷體" w:cs="Times New Roman"/>
                <w:sz w:val="32"/>
                <w:szCs w:val="32"/>
              </w:rPr>
            </w:pPr>
          </w:p>
        </w:tc>
        <w:tc>
          <w:tcPr>
            <w:tcW w:w="611" w:type="dxa"/>
          </w:tcPr>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主</w:t>
            </w:r>
          </w:p>
          <w:p w:rsidR="00323659" w:rsidRPr="00DD3B98" w:rsidRDefault="00323659" w:rsidP="00323659">
            <w:pPr>
              <w:rPr>
                <w:rFonts w:ascii="標楷體" w:eastAsia="標楷體" w:hAnsi="標楷體" w:cs="Times New Roman"/>
                <w:sz w:val="32"/>
                <w:szCs w:val="32"/>
              </w:rPr>
            </w:pPr>
          </w:p>
          <w:p w:rsidR="00E710E1" w:rsidRPr="00DD3B98" w:rsidRDefault="00E710E1"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委</w:t>
            </w:r>
          </w:p>
        </w:tc>
        <w:tc>
          <w:tcPr>
            <w:tcW w:w="4307" w:type="dxa"/>
          </w:tcPr>
          <w:p w:rsidR="00323659" w:rsidRPr="00DD3B98" w:rsidRDefault="00323659" w:rsidP="00323659">
            <w:pPr>
              <w:rPr>
                <w:rFonts w:ascii="標楷體" w:eastAsia="標楷體" w:hAnsi="標楷體" w:cs="Times New Roman"/>
                <w:sz w:val="32"/>
                <w:szCs w:val="32"/>
              </w:rPr>
            </w:pPr>
          </w:p>
        </w:tc>
      </w:tr>
      <w:tr w:rsidR="00323659" w:rsidRPr="00DD3B98" w:rsidTr="00147EEA">
        <w:trPr>
          <w:trHeight w:val="2760"/>
        </w:trPr>
        <w:tc>
          <w:tcPr>
            <w:tcW w:w="536" w:type="dxa"/>
            <w:vMerge/>
          </w:tcPr>
          <w:p w:rsidR="00323659" w:rsidRPr="00DD3B98" w:rsidRDefault="00323659" w:rsidP="00323659">
            <w:pPr>
              <w:rPr>
                <w:rFonts w:ascii="標楷體" w:eastAsia="標楷體" w:hAnsi="標楷體" w:cs="Times New Roman"/>
                <w:sz w:val="32"/>
                <w:szCs w:val="32"/>
              </w:rPr>
            </w:pPr>
          </w:p>
        </w:tc>
        <w:tc>
          <w:tcPr>
            <w:tcW w:w="699" w:type="dxa"/>
          </w:tcPr>
          <w:p w:rsidR="00E710E1" w:rsidRPr="00DD3B98" w:rsidRDefault="00147EEA" w:rsidP="00323659">
            <w:pPr>
              <w:rPr>
                <w:rFonts w:ascii="標楷體" w:eastAsia="標楷體" w:hAnsi="標楷體" w:cs="Times New Roman"/>
                <w:sz w:val="32"/>
                <w:szCs w:val="32"/>
              </w:rPr>
            </w:pPr>
            <w:r>
              <w:rPr>
                <w:rFonts w:ascii="標楷體" w:eastAsia="標楷體" w:hAnsi="標楷體" w:cs="Times New Roman"/>
                <w:sz w:val="32"/>
                <w:szCs w:val="32"/>
              </w:rPr>
              <w:t>財務</w:t>
            </w:r>
          </w:p>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組</w:t>
            </w:r>
          </w:p>
        </w:tc>
        <w:tc>
          <w:tcPr>
            <w:tcW w:w="3565" w:type="dxa"/>
          </w:tcPr>
          <w:p w:rsidR="00323659" w:rsidRPr="00DD3B98" w:rsidRDefault="00323659" w:rsidP="00323659">
            <w:pPr>
              <w:rPr>
                <w:rFonts w:ascii="標楷體" w:eastAsia="標楷體" w:hAnsi="標楷體" w:cs="Times New Roman"/>
                <w:sz w:val="32"/>
                <w:szCs w:val="32"/>
              </w:rPr>
            </w:pPr>
          </w:p>
        </w:tc>
        <w:tc>
          <w:tcPr>
            <w:tcW w:w="611" w:type="dxa"/>
          </w:tcPr>
          <w:p w:rsidR="00323659" w:rsidRPr="00DD3B98" w:rsidRDefault="00323659" w:rsidP="00323659">
            <w:pPr>
              <w:rPr>
                <w:rFonts w:ascii="標楷體" w:eastAsia="標楷體" w:hAnsi="標楷體" w:cs="Times New Roman"/>
                <w:sz w:val="32"/>
                <w:szCs w:val="32"/>
              </w:rPr>
            </w:pPr>
          </w:p>
        </w:tc>
        <w:tc>
          <w:tcPr>
            <w:tcW w:w="4307" w:type="dxa"/>
          </w:tcPr>
          <w:p w:rsidR="00323659" w:rsidRPr="00DD3B98" w:rsidRDefault="00323659" w:rsidP="00323659">
            <w:pPr>
              <w:rPr>
                <w:rFonts w:ascii="標楷體" w:eastAsia="標楷體" w:hAnsi="標楷體" w:cs="Times New Roman"/>
                <w:sz w:val="32"/>
                <w:szCs w:val="32"/>
              </w:rPr>
            </w:pPr>
          </w:p>
        </w:tc>
      </w:tr>
      <w:tr w:rsidR="00323659" w:rsidRPr="00DD3B98" w:rsidTr="0094325E">
        <w:trPr>
          <w:trHeight w:val="1860"/>
        </w:trPr>
        <w:tc>
          <w:tcPr>
            <w:tcW w:w="536" w:type="dxa"/>
            <w:vMerge/>
          </w:tcPr>
          <w:p w:rsidR="00323659" w:rsidRPr="00DD3B98" w:rsidRDefault="00323659" w:rsidP="00323659">
            <w:pPr>
              <w:rPr>
                <w:rFonts w:ascii="標楷體" w:eastAsia="標楷體" w:hAnsi="標楷體" w:cs="Times New Roman"/>
                <w:sz w:val="32"/>
                <w:szCs w:val="32"/>
              </w:rPr>
            </w:pPr>
          </w:p>
        </w:tc>
        <w:tc>
          <w:tcPr>
            <w:tcW w:w="699" w:type="dxa"/>
          </w:tcPr>
          <w:p w:rsidR="00323659" w:rsidRPr="00DD3B98" w:rsidRDefault="00323659"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p>
          <w:p w:rsidR="00E710E1" w:rsidRPr="00DD3B98" w:rsidRDefault="00E710E1" w:rsidP="00323659">
            <w:pPr>
              <w:rPr>
                <w:rFonts w:ascii="標楷體" w:eastAsia="標楷體" w:hAnsi="標楷體" w:cs="Times New Roman"/>
                <w:sz w:val="32"/>
                <w:szCs w:val="32"/>
              </w:rPr>
            </w:pPr>
          </w:p>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組</w:t>
            </w:r>
          </w:p>
        </w:tc>
        <w:tc>
          <w:tcPr>
            <w:tcW w:w="3565" w:type="dxa"/>
          </w:tcPr>
          <w:p w:rsidR="00323659" w:rsidRPr="00DD3B98" w:rsidRDefault="00323659" w:rsidP="00323659">
            <w:pPr>
              <w:rPr>
                <w:rFonts w:ascii="標楷體" w:eastAsia="標楷體" w:hAnsi="標楷體" w:cs="Times New Roman"/>
                <w:sz w:val="32"/>
                <w:szCs w:val="32"/>
              </w:rPr>
            </w:pPr>
          </w:p>
        </w:tc>
        <w:tc>
          <w:tcPr>
            <w:tcW w:w="611" w:type="dxa"/>
          </w:tcPr>
          <w:p w:rsidR="00323659" w:rsidRPr="00DD3B98" w:rsidRDefault="00323659" w:rsidP="00323659">
            <w:pPr>
              <w:rPr>
                <w:rFonts w:ascii="標楷體" w:eastAsia="標楷體" w:hAnsi="標楷體" w:cs="Times New Roman"/>
                <w:sz w:val="32"/>
                <w:szCs w:val="32"/>
              </w:rPr>
            </w:pPr>
            <w:r w:rsidRPr="00DD3B98">
              <w:rPr>
                <w:rFonts w:ascii="標楷體" w:eastAsia="標楷體" w:hAnsi="標楷體" w:cs="Times New Roman"/>
                <w:sz w:val="32"/>
                <w:szCs w:val="32"/>
              </w:rPr>
              <w:t>簽辦單位</w:t>
            </w:r>
          </w:p>
        </w:tc>
        <w:tc>
          <w:tcPr>
            <w:tcW w:w="4307" w:type="dxa"/>
          </w:tcPr>
          <w:p w:rsidR="00323659" w:rsidRPr="00DD3B98" w:rsidRDefault="00323659" w:rsidP="00323659">
            <w:pPr>
              <w:rPr>
                <w:rFonts w:ascii="標楷體" w:eastAsia="標楷體" w:hAnsi="標楷體" w:cs="Times New Roman"/>
                <w:sz w:val="32"/>
                <w:szCs w:val="32"/>
              </w:rPr>
            </w:pPr>
          </w:p>
        </w:tc>
      </w:tr>
    </w:tbl>
    <w:p w:rsidR="0094325E" w:rsidRPr="008316E5" w:rsidRDefault="0094325E" w:rsidP="0094325E">
      <w:pPr>
        <w:adjustRightInd w:val="0"/>
        <w:jc w:val="center"/>
        <w:textAlignment w:val="baseline"/>
        <w:rPr>
          <w:rFonts w:ascii="華康正顏楷體W9(P)" w:eastAsia="華康正顏楷體W9(P)" w:hAnsi="標楷體" w:cs="Times New Roman"/>
          <w:b/>
          <w:sz w:val="72"/>
          <w:szCs w:val="72"/>
        </w:rPr>
      </w:pPr>
      <w:r w:rsidRPr="008316E5">
        <w:rPr>
          <w:rFonts w:ascii="華康正顏楷體W9(P)" w:eastAsia="華康正顏楷體W9(P)" w:hAnsi="標楷體" w:cs="Times New Roman" w:hint="eastAsia"/>
          <w:b/>
          <w:sz w:val="72"/>
          <w:szCs w:val="72"/>
        </w:rPr>
        <w:lastRenderedPageBreak/>
        <w:t>公   告</w:t>
      </w:r>
    </w:p>
    <w:p w:rsidR="0094325E" w:rsidRPr="00F96AE7" w:rsidRDefault="0094325E" w:rsidP="0094325E">
      <w:pPr>
        <w:adjustRightInd w:val="0"/>
        <w:spacing w:before="240"/>
        <w:textAlignment w:val="baseline"/>
        <w:rPr>
          <w:rFonts w:ascii="標楷體" w:eastAsia="標楷體" w:hAnsi="標楷體" w:cs="Times New Roman"/>
          <w:sz w:val="28"/>
          <w:szCs w:val="28"/>
        </w:rPr>
      </w:pPr>
      <w:r w:rsidRPr="00F96AE7">
        <w:rPr>
          <w:rFonts w:ascii="標楷體" w:eastAsia="標楷體" w:hAnsi="標楷體" w:cs="Times New Roman" w:hint="eastAsia"/>
          <w:sz w:val="28"/>
          <w:szCs w:val="28"/>
        </w:rPr>
        <w:t>主辦單位:行政組         日期: 104 年</w:t>
      </w:r>
      <w:r>
        <w:rPr>
          <w:rFonts w:ascii="標楷體" w:eastAsia="標楷體" w:hAnsi="標楷體" w:cs="Times New Roman" w:hint="eastAsia"/>
          <w:sz w:val="28"/>
          <w:szCs w:val="28"/>
        </w:rPr>
        <w:t>07</w:t>
      </w:r>
      <w:r w:rsidRPr="00F96AE7">
        <w:rPr>
          <w:rFonts w:ascii="標楷體" w:eastAsia="標楷體" w:hAnsi="標楷體" w:cs="Times New Roman" w:hint="eastAsia"/>
          <w:sz w:val="28"/>
          <w:szCs w:val="28"/>
        </w:rPr>
        <w:t>月</w:t>
      </w:r>
      <w:r>
        <w:rPr>
          <w:rFonts w:ascii="標楷體" w:eastAsia="標楷體" w:hAnsi="標楷體" w:cs="Times New Roman" w:hint="eastAsia"/>
          <w:sz w:val="28"/>
          <w:szCs w:val="28"/>
        </w:rPr>
        <w:t>1</w:t>
      </w:r>
      <w:r w:rsidR="00B622A8">
        <w:rPr>
          <w:rFonts w:ascii="標楷體" w:eastAsia="標楷體" w:hAnsi="標楷體" w:cs="Times New Roman" w:hint="eastAsia"/>
          <w:sz w:val="28"/>
          <w:szCs w:val="28"/>
        </w:rPr>
        <w:t>9</w:t>
      </w:r>
      <w:r w:rsidRPr="00F96AE7">
        <w:rPr>
          <w:rFonts w:ascii="標楷體" w:eastAsia="標楷體" w:hAnsi="標楷體" w:cs="Times New Roman" w:hint="eastAsia"/>
          <w:sz w:val="28"/>
          <w:szCs w:val="28"/>
        </w:rPr>
        <w:t>日</w:t>
      </w:r>
      <w:r w:rsidR="00126773">
        <w:rPr>
          <w:rFonts w:ascii="標楷體" w:eastAsia="標楷體" w:hAnsi="標楷體" w:cs="Times New Roman" w:hint="eastAsia"/>
          <w:sz w:val="28"/>
          <w:szCs w:val="28"/>
        </w:rPr>
        <w:t xml:space="preserve">     </w:t>
      </w:r>
      <w:r w:rsidRPr="00F96AE7">
        <w:rPr>
          <w:rFonts w:ascii="標楷體" w:eastAsia="標楷體" w:hAnsi="標楷體" w:cs="Times New Roman" w:hint="eastAsia"/>
          <w:sz w:val="28"/>
          <w:szCs w:val="28"/>
        </w:rPr>
        <w:t>編號:</w:t>
      </w:r>
      <w:r w:rsidR="00126773">
        <w:rPr>
          <w:rFonts w:ascii="標楷體" w:eastAsia="標楷體" w:hAnsi="標楷體" w:cs="Times New Roman" w:hint="eastAsia"/>
          <w:sz w:val="28"/>
          <w:szCs w:val="28"/>
        </w:rPr>
        <w:t>水蓮</w:t>
      </w:r>
      <w:r w:rsidR="00B622A8" w:rsidRPr="00B622A8">
        <w:rPr>
          <w:rFonts w:ascii="標楷體" w:eastAsia="標楷體" w:hAnsi="標楷體" w:cs="Times New Roman"/>
          <w:sz w:val="28"/>
          <w:szCs w:val="28"/>
        </w:rPr>
        <w:t>G16010</w:t>
      </w:r>
      <w:r w:rsidR="00126773">
        <w:rPr>
          <w:rFonts w:ascii="標楷體" w:eastAsia="標楷體" w:hAnsi="標楷體" w:cs="Times New Roman" w:hint="eastAsia"/>
          <w:sz w:val="28"/>
          <w:szCs w:val="28"/>
        </w:rPr>
        <w:t>號</w:t>
      </w:r>
    </w:p>
    <w:p w:rsidR="0094325E" w:rsidRPr="00B622A8" w:rsidRDefault="0094325E" w:rsidP="0094325E">
      <w:pPr>
        <w:adjustRightInd w:val="0"/>
        <w:textAlignment w:val="baseline"/>
        <w:rPr>
          <w:rFonts w:ascii="標楷體" w:eastAsia="標楷體" w:hAnsi="標楷體" w:cs="Times New Roman"/>
          <w:w w:val="80"/>
          <w:szCs w:val="24"/>
        </w:rPr>
      </w:pPr>
      <w:r w:rsidRPr="00B622A8">
        <w:rPr>
          <w:rFonts w:ascii="標楷體" w:eastAsia="標楷體" w:hAnsi="標楷體" w:cs="Times New Roman" w:hint="eastAsia"/>
          <w:w w:val="80"/>
          <w:sz w:val="28"/>
          <w:szCs w:val="28"/>
        </w:rPr>
        <w:t>主旨:</w:t>
      </w:r>
      <w:r w:rsidRPr="00B622A8">
        <w:rPr>
          <w:rFonts w:ascii="標楷體" w:eastAsia="標楷體" w:hAnsi="標楷體" w:cs="Arial" w:hint="eastAsia"/>
          <w:w w:val="80"/>
          <w:sz w:val="28"/>
          <w:szCs w:val="28"/>
        </w:rPr>
        <w:t xml:space="preserve"> </w:t>
      </w:r>
      <w:r w:rsidRPr="00B622A8">
        <w:rPr>
          <w:rFonts w:ascii="標楷體" w:eastAsia="標楷體" w:hAnsi="標楷體" w:cs="Times New Roman" w:hint="eastAsia"/>
          <w:w w:val="80"/>
          <w:sz w:val="28"/>
          <w:szCs w:val="28"/>
        </w:rPr>
        <w:t>社區保險招商公告。</w:t>
      </w:r>
    </w:p>
    <w:p w:rsidR="0094325E" w:rsidRPr="00B622A8" w:rsidRDefault="0094325E" w:rsidP="0094325E">
      <w:pPr>
        <w:adjustRightInd w:val="0"/>
        <w:spacing w:beforeLines="50" w:before="180"/>
        <w:textAlignment w:val="baseline"/>
        <w:rPr>
          <w:rFonts w:ascii="標楷體" w:eastAsia="標楷體" w:hAnsi="標楷體" w:cs="Times New Roman"/>
          <w:w w:val="80"/>
          <w:sz w:val="28"/>
          <w:szCs w:val="28"/>
          <w:lang w:eastAsia="zh-CN"/>
        </w:rPr>
      </w:pPr>
      <w:r w:rsidRPr="00B622A8">
        <w:rPr>
          <w:rFonts w:ascii="標楷體" w:eastAsia="標楷體" w:hAnsi="標楷體" w:cs="Times New Roman" w:hint="eastAsia"/>
          <w:w w:val="80"/>
          <w:sz w:val="28"/>
          <w:szCs w:val="28"/>
        </w:rPr>
        <w:t xml:space="preserve">說明: </w:t>
      </w:r>
    </w:p>
    <w:p w:rsidR="0094325E" w:rsidRPr="00B622A8" w:rsidRDefault="0094325E" w:rsidP="00B622A8">
      <w:pPr>
        <w:numPr>
          <w:ilvl w:val="0"/>
          <w:numId w:val="2"/>
        </w:numPr>
        <w:adjustRightInd w:val="0"/>
        <w:spacing w:beforeLines="20" w:before="72"/>
        <w:ind w:left="851" w:hanging="851"/>
        <w:jc w:val="both"/>
        <w:textDirection w:val="lrTbV"/>
        <w:textAlignment w:val="baseline"/>
        <w:rPr>
          <w:rFonts w:ascii="標楷體" w:eastAsia="標楷體" w:hAnsi="標楷體" w:cs="Arial"/>
          <w:w w:val="80"/>
          <w:sz w:val="28"/>
          <w:szCs w:val="28"/>
        </w:rPr>
      </w:pPr>
      <w:r w:rsidRPr="00B622A8">
        <w:rPr>
          <w:rFonts w:ascii="標楷體" w:eastAsia="標楷體" w:hAnsi="標楷體" w:cs="Arial" w:hint="eastAsia"/>
          <w:w w:val="80"/>
          <w:sz w:val="28"/>
          <w:szCs w:val="28"/>
        </w:rPr>
        <w:t>依社區採購作業辦法以合於招標文件規定，且在底價以內之最低價為得標廠商。社區將續辦投保公共意外責任與火災保險，住戶或親朋好友有從事相關行業者，請於104年08月12日</w:t>
      </w:r>
      <w:r w:rsidRPr="00B622A8">
        <w:rPr>
          <w:rFonts w:ascii="標楷體" w:eastAsia="標楷體" w:hAnsi="標楷體" w:cs="Arial"/>
          <w:w w:val="80"/>
          <w:sz w:val="28"/>
          <w:szCs w:val="28"/>
        </w:rPr>
        <w:t>前以掛號(郵戳為憑)郵遞</w:t>
      </w:r>
      <w:r w:rsidRPr="00B622A8">
        <w:rPr>
          <w:rFonts w:ascii="標楷體" w:eastAsia="標楷體" w:hAnsi="標楷體" w:cs="Arial" w:hint="eastAsia"/>
          <w:w w:val="80"/>
          <w:sz w:val="28"/>
          <w:szCs w:val="28"/>
        </w:rPr>
        <w:t>台北市南港郵政第2133號信箱 水蓮山莊公寓大廈管理委員會</w:t>
      </w:r>
      <w:r w:rsidRPr="00B622A8">
        <w:rPr>
          <w:rFonts w:ascii="標楷體" w:eastAsia="標楷體" w:hAnsi="標楷體" w:cs="Arial"/>
          <w:w w:val="80"/>
          <w:sz w:val="28"/>
          <w:szCs w:val="28"/>
        </w:rPr>
        <w:t>(投標資料郵遞或直接送至機構地址，不得參加投標</w:t>
      </w:r>
      <w:proofErr w:type="gramStart"/>
      <w:r w:rsidRPr="00B622A8">
        <w:rPr>
          <w:rFonts w:ascii="標楷體" w:eastAsia="標楷體" w:hAnsi="標楷體" w:cs="Arial" w:hint="eastAsia"/>
          <w:w w:val="80"/>
          <w:sz w:val="28"/>
          <w:szCs w:val="28"/>
        </w:rPr>
        <w:t>）</w:t>
      </w:r>
      <w:proofErr w:type="gramEnd"/>
      <w:r w:rsidRPr="00B622A8">
        <w:rPr>
          <w:rFonts w:ascii="標楷體" w:eastAsia="標楷體" w:hAnsi="標楷體" w:cs="Arial" w:hint="eastAsia"/>
          <w:w w:val="80"/>
          <w:sz w:val="28"/>
          <w:szCs w:val="28"/>
        </w:rPr>
        <w:t>。</w:t>
      </w:r>
    </w:p>
    <w:p w:rsidR="0094325E" w:rsidRPr="00B622A8" w:rsidRDefault="0094325E" w:rsidP="00B622A8">
      <w:pPr>
        <w:numPr>
          <w:ilvl w:val="0"/>
          <w:numId w:val="2"/>
        </w:numPr>
        <w:adjustRightInd w:val="0"/>
        <w:spacing w:beforeLines="20" w:before="72"/>
        <w:ind w:left="851" w:hanging="851"/>
        <w:jc w:val="both"/>
        <w:textDirection w:val="lrTbV"/>
        <w:textAlignment w:val="baseline"/>
        <w:rPr>
          <w:rFonts w:ascii="標楷體" w:eastAsia="標楷體" w:hAnsi="標楷體" w:cs="Arial"/>
          <w:w w:val="80"/>
          <w:sz w:val="28"/>
          <w:szCs w:val="28"/>
        </w:rPr>
      </w:pPr>
      <w:r w:rsidRPr="00B622A8">
        <w:rPr>
          <w:rFonts w:ascii="標楷體" w:eastAsia="標楷體" w:hAnsi="標楷體" w:cs="Arial" w:hint="eastAsia"/>
          <w:w w:val="80"/>
          <w:sz w:val="28"/>
          <w:szCs w:val="28"/>
        </w:rPr>
        <w:t>保險期間：自民國104年9月22日中午12時起至105年9月22日中午12時止。</w:t>
      </w:r>
    </w:p>
    <w:p w:rsidR="0094325E" w:rsidRPr="00B622A8" w:rsidRDefault="0094325E" w:rsidP="00B622A8">
      <w:pPr>
        <w:numPr>
          <w:ilvl w:val="0"/>
          <w:numId w:val="2"/>
        </w:numPr>
        <w:adjustRightInd w:val="0"/>
        <w:spacing w:beforeLines="20" w:before="72"/>
        <w:ind w:left="851" w:hanging="851"/>
        <w:jc w:val="both"/>
        <w:textDirection w:val="lrTbV"/>
        <w:textAlignment w:val="baseline"/>
        <w:rPr>
          <w:rFonts w:ascii="標楷體" w:eastAsia="標楷體" w:hAnsi="標楷體" w:cs="Arial"/>
          <w:w w:val="80"/>
          <w:sz w:val="28"/>
          <w:szCs w:val="28"/>
        </w:rPr>
      </w:pPr>
      <w:r w:rsidRPr="00B622A8">
        <w:rPr>
          <w:rFonts w:ascii="標楷體" w:eastAsia="標楷體" w:hAnsi="標楷體" w:cs="Arial" w:hint="eastAsia"/>
          <w:w w:val="80"/>
          <w:sz w:val="28"/>
          <w:szCs w:val="28"/>
        </w:rPr>
        <w:t>承保範圍：樓梯間走道、中庭花園走道、兒童遊戲場、籃球場、綜合球場、網球場、地下室含停車場、戶外游泳池、53部電梯及生活館全區的公共空間，包括生活館的室內游泳池等設施。</w:t>
      </w:r>
    </w:p>
    <w:p w:rsidR="0094325E" w:rsidRPr="00B622A8" w:rsidRDefault="0094325E" w:rsidP="00B622A8">
      <w:pPr>
        <w:numPr>
          <w:ilvl w:val="0"/>
          <w:numId w:val="2"/>
        </w:numPr>
        <w:adjustRightInd w:val="0"/>
        <w:spacing w:beforeLines="20" w:before="72"/>
        <w:ind w:left="851" w:hanging="851"/>
        <w:jc w:val="both"/>
        <w:textDirection w:val="lrTbV"/>
        <w:textAlignment w:val="baseline"/>
        <w:rPr>
          <w:rFonts w:ascii="標楷體" w:eastAsia="標楷體" w:hAnsi="標楷體" w:cs="Arial"/>
          <w:w w:val="80"/>
          <w:sz w:val="28"/>
          <w:szCs w:val="28"/>
        </w:rPr>
      </w:pPr>
      <w:r w:rsidRPr="00B622A8">
        <w:rPr>
          <w:rFonts w:ascii="標楷體" w:eastAsia="標楷體" w:hAnsi="標楷體" w:cs="Arial" w:hint="eastAsia"/>
          <w:w w:val="80"/>
          <w:sz w:val="28"/>
          <w:szCs w:val="28"/>
        </w:rPr>
        <w:t>保險標單內容應含：(詳招標須知第五條內容)</w:t>
      </w:r>
    </w:p>
    <w:p w:rsidR="0094325E" w:rsidRPr="00B622A8" w:rsidRDefault="0094325E" w:rsidP="00B622A8">
      <w:pPr>
        <w:numPr>
          <w:ilvl w:val="0"/>
          <w:numId w:val="2"/>
        </w:numPr>
        <w:adjustRightInd w:val="0"/>
        <w:spacing w:beforeLines="20" w:before="72"/>
        <w:ind w:left="851" w:hanging="851"/>
        <w:jc w:val="both"/>
        <w:textAlignment w:val="baseline"/>
        <w:rPr>
          <w:rFonts w:ascii="標楷體" w:eastAsia="標楷體" w:hAnsi="標楷體" w:cs="Times New Roman"/>
          <w:w w:val="80"/>
          <w:sz w:val="28"/>
          <w:szCs w:val="28"/>
        </w:rPr>
      </w:pPr>
      <w:r w:rsidRPr="00B622A8">
        <w:rPr>
          <w:rFonts w:ascii="標楷體" w:eastAsia="標楷體" w:hAnsi="標楷體" w:cs="Times New Roman" w:hint="eastAsia"/>
          <w:w w:val="80"/>
          <w:sz w:val="28"/>
          <w:szCs w:val="28"/>
        </w:rPr>
        <w:t>領標事項：</w:t>
      </w:r>
    </w:p>
    <w:p w:rsidR="0094325E" w:rsidRPr="00B622A8" w:rsidRDefault="0094325E" w:rsidP="00B622A8">
      <w:pPr>
        <w:kinsoku w:val="0"/>
        <w:adjustRightInd w:val="0"/>
        <w:spacing w:beforeLines="20" w:before="72"/>
        <w:ind w:left="1361" w:hanging="1361"/>
        <w:textAlignment w:val="baseline"/>
        <w:rPr>
          <w:rFonts w:ascii="標楷體" w:eastAsia="標楷體" w:hAnsi="標楷體" w:cs="Times New Roman"/>
          <w:w w:val="80"/>
          <w:kern w:val="0"/>
          <w:sz w:val="28"/>
          <w:szCs w:val="28"/>
        </w:rPr>
      </w:pPr>
      <w:r w:rsidRPr="00B622A8">
        <w:rPr>
          <w:rFonts w:ascii="標楷體" w:eastAsia="標楷體" w:hAnsi="標楷體" w:cs="Times New Roman" w:hint="eastAsia"/>
          <w:w w:val="80"/>
          <w:kern w:val="0"/>
          <w:sz w:val="28"/>
          <w:szCs w:val="28"/>
        </w:rPr>
        <w:t xml:space="preserve">        (一)本招標案</w:t>
      </w:r>
      <w:proofErr w:type="gramStart"/>
      <w:r w:rsidRPr="00B622A8">
        <w:rPr>
          <w:rFonts w:ascii="標楷體" w:eastAsia="標楷體" w:hAnsi="標楷體" w:cs="Times New Roman" w:hint="eastAsia"/>
          <w:w w:val="80"/>
          <w:kern w:val="0"/>
          <w:sz w:val="28"/>
          <w:szCs w:val="28"/>
        </w:rPr>
        <w:t>採</w:t>
      </w:r>
      <w:proofErr w:type="gramEnd"/>
      <w:r w:rsidRPr="00B622A8">
        <w:rPr>
          <w:rFonts w:ascii="標楷體" w:eastAsia="標楷體" w:hAnsi="標楷體" w:cs="Times New Roman" w:hint="eastAsia"/>
          <w:w w:val="80"/>
          <w:kern w:val="0"/>
          <w:sz w:val="28"/>
          <w:szCs w:val="28"/>
        </w:rPr>
        <w:t>電子領標。</w:t>
      </w:r>
    </w:p>
    <w:p w:rsidR="0094325E" w:rsidRPr="00B622A8" w:rsidRDefault="0094325E" w:rsidP="00B622A8">
      <w:pPr>
        <w:kinsoku w:val="0"/>
        <w:adjustRightInd w:val="0"/>
        <w:spacing w:beforeLines="20" w:before="72"/>
        <w:ind w:left="1361" w:hanging="1361"/>
        <w:textAlignment w:val="baseline"/>
        <w:rPr>
          <w:rFonts w:ascii="標楷體" w:eastAsia="標楷體" w:hAnsi="標楷體" w:cs="Times New Roman"/>
          <w:w w:val="80"/>
          <w:kern w:val="0"/>
          <w:sz w:val="28"/>
          <w:szCs w:val="28"/>
        </w:rPr>
      </w:pPr>
      <w:r w:rsidRPr="00B622A8">
        <w:rPr>
          <w:rFonts w:ascii="標楷體" w:eastAsia="標楷體" w:hAnsi="標楷體" w:cs="Times New Roman" w:hint="eastAsia"/>
          <w:w w:val="80"/>
          <w:kern w:val="0"/>
          <w:sz w:val="28"/>
          <w:szCs w:val="28"/>
        </w:rPr>
        <w:t xml:space="preserve">        (二)得經公告網站(</w:t>
      </w:r>
      <w:r w:rsidRPr="00B622A8">
        <w:rPr>
          <w:rFonts w:ascii="標楷體" w:eastAsia="標楷體" w:hAnsi="標楷體" w:cs="Times New Roman"/>
          <w:w w:val="80"/>
          <w:kern w:val="0"/>
          <w:sz w:val="28"/>
          <w:szCs w:val="28"/>
        </w:rPr>
        <w:t>http://lotushill.tw/</w:t>
      </w:r>
      <w:r w:rsidRPr="00B622A8">
        <w:rPr>
          <w:rFonts w:ascii="標楷體" w:eastAsia="標楷體" w:hAnsi="標楷體" w:cs="Times New Roman" w:hint="eastAsia"/>
          <w:w w:val="80"/>
          <w:kern w:val="0"/>
          <w:sz w:val="28"/>
          <w:szCs w:val="28"/>
        </w:rPr>
        <w:t>)下載本招標文件電子檔。</w:t>
      </w:r>
    </w:p>
    <w:p w:rsidR="0094325E" w:rsidRPr="00B622A8" w:rsidRDefault="0094325E" w:rsidP="00B622A8">
      <w:pPr>
        <w:kinsoku w:val="0"/>
        <w:adjustRightInd w:val="0"/>
        <w:spacing w:beforeLines="20" w:before="72"/>
        <w:ind w:left="1361" w:hanging="1361"/>
        <w:jc w:val="both"/>
        <w:textAlignment w:val="baseline"/>
        <w:rPr>
          <w:rFonts w:ascii="標楷體" w:eastAsia="標楷體" w:hAnsi="標楷體" w:cs="Times New Roman"/>
          <w:w w:val="80"/>
          <w:kern w:val="0"/>
          <w:sz w:val="28"/>
          <w:szCs w:val="28"/>
        </w:rPr>
      </w:pPr>
      <w:r w:rsidRPr="00B622A8">
        <w:rPr>
          <w:rFonts w:ascii="標楷體" w:eastAsia="標楷體" w:hAnsi="標楷體" w:cs="Times New Roman" w:hint="eastAsia"/>
          <w:w w:val="80"/>
          <w:kern w:val="0"/>
          <w:sz w:val="28"/>
          <w:szCs w:val="28"/>
        </w:rPr>
        <w:t>七、  現場勘查及說明會:104年07月24日14:00時。</w:t>
      </w:r>
    </w:p>
    <w:p w:rsidR="0094325E" w:rsidRPr="00B622A8" w:rsidRDefault="0094325E" w:rsidP="00B622A8">
      <w:pPr>
        <w:kinsoku w:val="0"/>
        <w:adjustRightInd w:val="0"/>
        <w:spacing w:beforeLines="20" w:before="72"/>
        <w:ind w:left="1361" w:hanging="1361"/>
        <w:jc w:val="both"/>
        <w:textAlignment w:val="baseline"/>
        <w:rPr>
          <w:rFonts w:ascii="標楷體" w:eastAsia="標楷體" w:hAnsi="標楷體" w:cs="Times New Roman"/>
          <w:spacing w:val="14"/>
          <w:w w:val="80"/>
          <w:kern w:val="0"/>
          <w:sz w:val="28"/>
          <w:szCs w:val="28"/>
        </w:rPr>
      </w:pPr>
      <w:r w:rsidRPr="00B622A8">
        <w:rPr>
          <w:rFonts w:ascii="標楷體" w:eastAsia="標楷體" w:hAnsi="標楷體" w:cs="Times New Roman" w:hint="eastAsia"/>
          <w:w w:val="80"/>
          <w:kern w:val="0"/>
          <w:sz w:val="28"/>
          <w:szCs w:val="28"/>
        </w:rPr>
        <w:t>八、  開標日期:104年08月14日20:00時。</w:t>
      </w:r>
    </w:p>
    <w:p w:rsidR="0094325E" w:rsidRDefault="0094325E" w:rsidP="0094325E">
      <w:pPr>
        <w:kinsoku w:val="0"/>
        <w:adjustRightInd w:val="0"/>
        <w:spacing w:beforeLines="20" w:before="72" w:line="276" w:lineRule="auto"/>
        <w:jc w:val="center"/>
        <w:textAlignment w:val="baseline"/>
        <w:rPr>
          <w:rFonts w:ascii="華康正顏楷體W9(P)" w:eastAsia="華康正顏楷體W9(P)" w:hAnsi="標楷體" w:cs="Times New Roman"/>
          <w:b/>
          <w:spacing w:val="14"/>
          <w:w w:val="90"/>
          <w:kern w:val="0"/>
          <w:sz w:val="56"/>
          <w:szCs w:val="56"/>
        </w:rPr>
      </w:pPr>
      <w:r w:rsidRPr="00D80E3B">
        <w:rPr>
          <w:rFonts w:ascii="華康正顏楷體W9(P)" w:eastAsia="華康正顏楷體W9(P)" w:hAnsi="標楷體" w:cs="Times New Roman" w:hint="eastAsia"/>
          <w:b/>
          <w:spacing w:val="14"/>
          <w:w w:val="90"/>
          <w:kern w:val="0"/>
          <w:sz w:val="56"/>
          <w:szCs w:val="56"/>
        </w:rPr>
        <w:t>水蓮山莊管理委員會</w:t>
      </w:r>
    </w:p>
    <w:p w:rsidR="0094325E" w:rsidRPr="001315C3" w:rsidRDefault="0094325E" w:rsidP="0094325E">
      <w:pPr>
        <w:adjustRightInd w:val="0"/>
        <w:spacing w:line="360" w:lineRule="exact"/>
        <w:jc w:val="center"/>
        <w:textDirection w:val="lrTbV"/>
        <w:textAlignment w:val="baseline"/>
        <w:rPr>
          <w:rFonts w:ascii="標楷體" w:eastAsia="標楷體" w:hAnsi="標楷體" w:cs="Times New Roman"/>
          <w:b/>
          <w:sz w:val="36"/>
          <w:szCs w:val="36"/>
          <w:u w:val="single"/>
        </w:rPr>
      </w:pPr>
      <w:r w:rsidRPr="001315C3">
        <w:rPr>
          <w:rFonts w:ascii="標楷體" w:eastAsia="標楷體" w:hAnsi="標楷體" w:cs="Times New Roman" w:hint="eastAsia"/>
          <w:b/>
          <w:sz w:val="36"/>
          <w:szCs w:val="36"/>
        </w:rPr>
        <w:lastRenderedPageBreak/>
        <w:t>水蓮山莊年度社區保險開標</w:t>
      </w:r>
      <w:r w:rsidRPr="001315C3">
        <w:rPr>
          <w:rFonts w:ascii="標楷體" w:eastAsia="標楷體" w:hAnsi="標楷體" w:cs="Times New Roman" w:hint="eastAsia"/>
          <w:b/>
          <w:sz w:val="36"/>
          <w:szCs w:val="36"/>
          <w:u w:val="single"/>
        </w:rPr>
        <w:t>案</w:t>
      </w:r>
    </w:p>
    <w:p w:rsidR="0094325E" w:rsidRPr="001315C3" w:rsidRDefault="0094325E" w:rsidP="0094325E">
      <w:pPr>
        <w:adjustRightInd w:val="0"/>
        <w:spacing w:line="360" w:lineRule="exact"/>
        <w:textDirection w:val="lrTbV"/>
        <w:textAlignment w:val="baseline"/>
        <w:rPr>
          <w:rFonts w:ascii="標楷體" w:eastAsia="標楷體" w:hAnsi="標楷體" w:cs="Times New Roman"/>
          <w:b/>
          <w:sz w:val="32"/>
          <w:szCs w:val="32"/>
          <w:u w:val="single"/>
        </w:rPr>
      </w:pPr>
    </w:p>
    <w:p w:rsidR="0094325E" w:rsidRPr="001315C3" w:rsidRDefault="0094325E" w:rsidP="0094325E">
      <w:pPr>
        <w:adjustRightInd w:val="0"/>
        <w:spacing w:line="360" w:lineRule="exact"/>
        <w:jc w:val="center"/>
        <w:textDirection w:val="lrTbV"/>
        <w:textAlignment w:val="baseline"/>
        <w:rPr>
          <w:rFonts w:ascii="標楷體" w:eastAsia="標楷體" w:hAnsi="標楷體" w:cs="Times New Roman"/>
          <w:b/>
          <w:sz w:val="32"/>
          <w:szCs w:val="32"/>
          <w:u w:val="single"/>
        </w:rPr>
      </w:pPr>
      <w:r w:rsidRPr="001315C3">
        <w:rPr>
          <w:rFonts w:ascii="標楷體" w:eastAsia="標楷體" w:hAnsi="標楷體" w:cs="Times New Roman" w:hint="eastAsia"/>
          <w:b/>
          <w:sz w:val="32"/>
          <w:szCs w:val="32"/>
          <w:u w:val="single"/>
        </w:rPr>
        <w:t>水蓮山莊社區公共意外責任險與火災保險投標須知</w:t>
      </w:r>
    </w:p>
    <w:p w:rsidR="0094325E" w:rsidRPr="001315C3" w:rsidRDefault="0094325E" w:rsidP="0094325E">
      <w:pPr>
        <w:kinsoku w:val="0"/>
        <w:adjustRightInd w:val="0"/>
        <w:spacing w:line="360" w:lineRule="exact"/>
        <w:jc w:val="both"/>
        <w:textDirection w:val="lrTbV"/>
        <w:textAlignment w:val="baseline"/>
        <w:rPr>
          <w:rFonts w:ascii="標楷體" w:eastAsia="標楷體" w:hAnsi="標楷體" w:cs="Times New Roman"/>
          <w:kern w:val="0"/>
          <w:szCs w:val="24"/>
        </w:rPr>
      </w:pPr>
    </w:p>
    <w:p w:rsidR="0094325E" w:rsidRPr="001315C3" w:rsidRDefault="0094325E" w:rsidP="0094325E">
      <w:pPr>
        <w:kinsoku w:val="0"/>
        <w:adjustRightInd w:val="0"/>
        <w:spacing w:line="360" w:lineRule="exact"/>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以下各項招標規定內容，由水蓮山莊公寓大廈管理委員會（以下簡稱本會）填寫，投標廠商不得填寫或塗改。</w:t>
      </w:r>
    </w:p>
    <w:p w:rsidR="0094325E" w:rsidRPr="001315C3" w:rsidRDefault="0094325E" w:rsidP="0094325E">
      <w:pPr>
        <w:numPr>
          <w:ilvl w:val="0"/>
          <w:numId w:val="12"/>
        </w:numPr>
        <w:kinsoku w:val="0"/>
        <w:adjustRightInd w:val="0"/>
        <w:spacing w:line="360" w:lineRule="exact"/>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本案採購標的:社區公共意外責任險與火災保險。</w:t>
      </w:r>
    </w:p>
    <w:p w:rsidR="0094325E" w:rsidRPr="001315C3" w:rsidRDefault="0094325E" w:rsidP="0094325E">
      <w:pPr>
        <w:numPr>
          <w:ilvl w:val="0"/>
          <w:numId w:val="12"/>
        </w:numPr>
        <w:kinsoku w:val="0"/>
        <w:adjustRightInd w:val="0"/>
        <w:spacing w:line="360" w:lineRule="exact"/>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廠商投標應遞送證明文件與資料份數：一式30份（資料送達後不得要求退還）。</w:t>
      </w:r>
    </w:p>
    <w:p w:rsidR="0094325E" w:rsidRPr="001315C3" w:rsidRDefault="0094325E" w:rsidP="0094325E">
      <w:pPr>
        <w:numPr>
          <w:ilvl w:val="0"/>
          <w:numId w:val="12"/>
        </w:numPr>
        <w:kinsoku w:val="0"/>
        <w:adjustRightInd w:val="0"/>
        <w:spacing w:line="360" w:lineRule="exact"/>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保險期間：自民國104年9月22日中午12時起至105年9月22日中午12時止。</w:t>
      </w:r>
    </w:p>
    <w:p w:rsidR="0094325E" w:rsidRPr="002F5362" w:rsidRDefault="0094325E" w:rsidP="0094325E">
      <w:pPr>
        <w:numPr>
          <w:ilvl w:val="0"/>
          <w:numId w:val="12"/>
        </w:numPr>
        <w:kinsoku w:val="0"/>
        <w:adjustRightInd w:val="0"/>
        <w:snapToGrid w:val="0"/>
        <w:spacing w:line="238" w:lineRule="auto"/>
        <w:jc w:val="both"/>
        <w:textAlignment w:val="baseline"/>
        <w:rPr>
          <w:rFonts w:ascii="標楷體" w:eastAsia="標楷體" w:hAnsi="標楷體" w:cs="Times New Roman"/>
          <w:spacing w:val="14"/>
          <w:kern w:val="0"/>
          <w:szCs w:val="24"/>
        </w:rPr>
      </w:pPr>
      <w:r w:rsidRPr="001315C3">
        <w:rPr>
          <w:rFonts w:ascii="標楷體" w:eastAsia="標楷體" w:hAnsi="標楷體" w:cs="Times New Roman" w:hint="eastAsia"/>
          <w:spacing w:val="14"/>
          <w:kern w:val="0"/>
          <w:szCs w:val="24"/>
        </w:rPr>
        <w:t>承保範圍：</w:t>
      </w:r>
      <w:r w:rsidRPr="002F5362">
        <w:rPr>
          <w:rFonts w:ascii="標楷體" w:eastAsia="標楷體" w:hAnsi="標楷體" w:cs="Times New Roman" w:hint="eastAsia"/>
          <w:bCs/>
          <w:spacing w:val="14"/>
          <w:kern w:val="0"/>
          <w:szCs w:val="24"/>
        </w:rPr>
        <w:t>樓梯間走道、中庭花園走道、兒童遊戲場、籃球場、綜合球場、網球場、地下室含停車場、戶外游泳池、5</w:t>
      </w:r>
      <w:r w:rsidRPr="002F5362">
        <w:rPr>
          <w:rFonts w:ascii="標楷體" w:eastAsia="SimSun" w:hAnsi="標楷體" w:cs="Times New Roman" w:hint="eastAsia"/>
          <w:bCs/>
          <w:spacing w:val="14"/>
          <w:kern w:val="0"/>
          <w:szCs w:val="24"/>
        </w:rPr>
        <w:t>3</w:t>
      </w:r>
      <w:r w:rsidRPr="002F5362">
        <w:rPr>
          <w:rFonts w:ascii="標楷體" w:eastAsia="標楷體" w:hAnsi="標楷體" w:cs="Times New Roman" w:hint="eastAsia"/>
          <w:bCs/>
          <w:spacing w:val="14"/>
          <w:kern w:val="0"/>
          <w:szCs w:val="24"/>
        </w:rPr>
        <w:t>部電梯及生活館全區的公共空間，包括生活館的室內游泳池等設施。</w:t>
      </w:r>
    </w:p>
    <w:p w:rsidR="0094325E" w:rsidRPr="001315C3" w:rsidRDefault="0094325E" w:rsidP="0094325E">
      <w:pPr>
        <w:numPr>
          <w:ilvl w:val="0"/>
          <w:numId w:val="12"/>
        </w:numPr>
        <w:kinsoku w:val="0"/>
        <w:adjustRightInd w:val="0"/>
        <w:snapToGrid w:val="0"/>
        <w:spacing w:line="238" w:lineRule="auto"/>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保險標單內容應含：</w:t>
      </w:r>
    </w:p>
    <w:p w:rsidR="0094325E" w:rsidRPr="001315C3" w:rsidRDefault="0094325E" w:rsidP="0094325E">
      <w:pPr>
        <w:kinsoku w:val="0"/>
        <w:adjustRightInd w:val="0"/>
        <w:snapToGrid w:val="0"/>
        <w:spacing w:line="238" w:lineRule="auto"/>
        <w:ind w:left="570"/>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1.公共意外責任保險:</w:t>
      </w:r>
    </w:p>
    <w:p w:rsidR="0094325E" w:rsidRPr="001315C3" w:rsidRDefault="0094325E" w:rsidP="0094325E">
      <w:pPr>
        <w:kinsoku w:val="0"/>
        <w:adjustRightInd w:val="0"/>
        <w:spacing w:line="360" w:lineRule="exact"/>
        <w:ind w:left="1632" w:hangingChars="680" w:hanging="1632"/>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proofErr w:type="gramStart"/>
      <w:r w:rsidRPr="001315C3">
        <w:rPr>
          <w:rFonts w:ascii="標楷體" w:eastAsia="標楷體" w:hAnsi="標楷體" w:cs="Times New Roman" w:hint="eastAsia"/>
          <w:kern w:val="0"/>
          <w:szCs w:val="24"/>
        </w:rPr>
        <w:t>一</w:t>
      </w:r>
      <w:proofErr w:type="gramEnd"/>
      <w:r w:rsidRPr="001315C3">
        <w:rPr>
          <w:rFonts w:ascii="標楷體" w:eastAsia="標楷體" w:hAnsi="標楷體" w:cs="Times New Roman" w:hint="eastAsia"/>
          <w:kern w:val="0"/>
          <w:szCs w:val="24"/>
        </w:rPr>
        <w:t>)每一個人體傷責任保險金額:</w:t>
      </w:r>
      <w:proofErr w:type="gramStart"/>
      <w:r w:rsidRPr="001315C3">
        <w:rPr>
          <w:rFonts w:ascii="標楷體" w:eastAsia="標楷體" w:hAnsi="標楷體" w:cs="Times New Roman" w:hint="eastAsia"/>
          <w:kern w:val="0"/>
          <w:szCs w:val="24"/>
        </w:rPr>
        <w:t>NTD 3,000,000.</w:t>
      </w:r>
      <w:proofErr w:type="gramEnd"/>
    </w:p>
    <w:p w:rsidR="0094325E" w:rsidRPr="001315C3" w:rsidRDefault="0094325E" w:rsidP="0094325E">
      <w:pPr>
        <w:kinsoku w:val="0"/>
        <w:adjustRightInd w:val="0"/>
        <w:spacing w:line="360" w:lineRule="exact"/>
        <w:ind w:left="1361" w:hanging="1361"/>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r w:rsidRPr="001315C3">
        <w:rPr>
          <w:rFonts w:ascii="標楷體" w:eastAsia="SimSun" w:hAnsi="標楷體" w:cs="Times New Roman" w:hint="eastAsia"/>
          <w:kern w:val="0"/>
          <w:szCs w:val="24"/>
        </w:rPr>
        <w:t xml:space="preserve"> </w:t>
      </w:r>
      <w:r w:rsidRPr="001315C3">
        <w:rPr>
          <w:rFonts w:ascii="標楷體" w:eastAsia="標楷體" w:hAnsi="標楷體" w:cs="Times New Roman" w:hint="eastAsia"/>
          <w:kern w:val="0"/>
          <w:szCs w:val="24"/>
        </w:rPr>
        <w:t xml:space="preserve">(二)每一意外事故傷亡體傷責任保險金額: </w:t>
      </w:r>
      <w:proofErr w:type="gramStart"/>
      <w:r w:rsidRPr="001315C3">
        <w:rPr>
          <w:rFonts w:ascii="標楷體" w:eastAsia="標楷體" w:hAnsi="標楷體" w:cs="Times New Roman" w:hint="eastAsia"/>
          <w:kern w:val="0"/>
          <w:szCs w:val="24"/>
        </w:rPr>
        <w:t>NTD 15,000,000.</w:t>
      </w:r>
      <w:proofErr w:type="gramEnd"/>
    </w:p>
    <w:p w:rsidR="0094325E" w:rsidRPr="001315C3" w:rsidRDefault="0094325E" w:rsidP="0094325E">
      <w:pPr>
        <w:kinsoku w:val="0"/>
        <w:adjustRightInd w:val="0"/>
        <w:spacing w:line="360" w:lineRule="exact"/>
        <w:ind w:left="1361" w:hanging="1361"/>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r w:rsidRPr="001315C3">
        <w:rPr>
          <w:rFonts w:ascii="標楷體" w:eastAsia="SimSun" w:hAnsi="標楷體" w:cs="Times New Roman" w:hint="eastAsia"/>
          <w:kern w:val="0"/>
          <w:szCs w:val="24"/>
        </w:rPr>
        <w:t xml:space="preserve"> </w:t>
      </w:r>
      <w:r w:rsidRPr="001315C3">
        <w:rPr>
          <w:rFonts w:ascii="標楷體" w:eastAsia="標楷體" w:hAnsi="標楷體" w:cs="Times New Roman" w:hint="eastAsia"/>
          <w:kern w:val="0"/>
          <w:szCs w:val="24"/>
        </w:rPr>
        <w:t>(三)每一意外事故財損責任保險金額:</w:t>
      </w:r>
      <w:proofErr w:type="gramStart"/>
      <w:r w:rsidRPr="001315C3">
        <w:rPr>
          <w:rFonts w:ascii="標楷體" w:eastAsia="標楷體" w:hAnsi="標楷體" w:cs="Times New Roman" w:hint="eastAsia"/>
          <w:kern w:val="0"/>
          <w:szCs w:val="24"/>
        </w:rPr>
        <w:t>NTD 3,000,000.</w:t>
      </w:r>
      <w:proofErr w:type="gramEnd"/>
    </w:p>
    <w:p w:rsidR="0094325E" w:rsidRPr="001315C3" w:rsidRDefault="0094325E" w:rsidP="0094325E">
      <w:pPr>
        <w:kinsoku w:val="0"/>
        <w:adjustRightInd w:val="0"/>
        <w:spacing w:line="360" w:lineRule="exact"/>
        <w:ind w:left="1361" w:hanging="1361"/>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r w:rsidRPr="001315C3">
        <w:rPr>
          <w:rFonts w:ascii="標楷體" w:eastAsia="SimSun" w:hAnsi="標楷體" w:cs="Times New Roman" w:hint="eastAsia"/>
          <w:kern w:val="0"/>
          <w:szCs w:val="24"/>
        </w:rPr>
        <w:t xml:space="preserve">  </w:t>
      </w:r>
      <w:r w:rsidRPr="001315C3">
        <w:rPr>
          <w:rFonts w:ascii="標楷體" w:eastAsia="標楷體" w:hAnsi="標楷體" w:cs="Times New Roman" w:hint="eastAsia"/>
          <w:kern w:val="0"/>
          <w:szCs w:val="24"/>
        </w:rPr>
        <w:t xml:space="preserve">(四)最高賠償金額: </w:t>
      </w:r>
      <w:proofErr w:type="gramStart"/>
      <w:r w:rsidRPr="001315C3">
        <w:rPr>
          <w:rFonts w:ascii="標楷體" w:eastAsia="標楷體" w:hAnsi="標楷體" w:cs="Times New Roman" w:hint="eastAsia"/>
          <w:kern w:val="0"/>
          <w:szCs w:val="24"/>
        </w:rPr>
        <w:t>NTD 40,000,000.</w:t>
      </w:r>
      <w:proofErr w:type="gramEnd"/>
    </w:p>
    <w:p w:rsidR="0094325E" w:rsidRPr="001315C3" w:rsidRDefault="0094325E" w:rsidP="0094325E">
      <w:pPr>
        <w:kinsoku w:val="0"/>
        <w:adjustRightInd w:val="0"/>
        <w:spacing w:line="360" w:lineRule="exact"/>
        <w:ind w:left="1361" w:hanging="1361"/>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r w:rsidRPr="001315C3">
        <w:rPr>
          <w:rFonts w:ascii="標楷體" w:eastAsia="SimSun" w:hAnsi="標楷體" w:cs="Times New Roman" w:hint="eastAsia"/>
          <w:kern w:val="0"/>
          <w:szCs w:val="24"/>
        </w:rPr>
        <w:t xml:space="preserve"> </w:t>
      </w:r>
      <w:r w:rsidRPr="001315C3">
        <w:rPr>
          <w:rFonts w:ascii="標楷體" w:eastAsia="標楷體" w:hAnsi="標楷體" w:cs="Times New Roman" w:hint="eastAsia"/>
          <w:kern w:val="0"/>
          <w:szCs w:val="24"/>
        </w:rPr>
        <w:t>(五)消防費用附加條款。</w:t>
      </w:r>
    </w:p>
    <w:p w:rsidR="0094325E" w:rsidRPr="001315C3" w:rsidRDefault="0094325E" w:rsidP="0094325E">
      <w:pPr>
        <w:kinsoku w:val="0"/>
        <w:adjustRightInd w:val="0"/>
        <w:spacing w:line="360" w:lineRule="exact"/>
        <w:ind w:left="1361" w:hanging="1361"/>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r w:rsidRPr="001315C3">
        <w:rPr>
          <w:rFonts w:ascii="標楷體" w:eastAsia="SimSun" w:hAnsi="標楷體" w:cs="Times New Roman" w:hint="eastAsia"/>
          <w:kern w:val="0"/>
          <w:szCs w:val="24"/>
        </w:rPr>
        <w:t xml:space="preserve"> </w:t>
      </w:r>
      <w:r w:rsidRPr="001315C3">
        <w:rPr>
          <w:rFonts w:ascii="標楷體" w:eastAsia="標楷體" w:hAnsi="標楷體" w:cs="Times New Roman" w:hint="eastAsia"/>
          <w:kern w:val="0"/>
          <w:szCs w:val="24"/>
        </w:rPr>
        <w:t>(六)社區內各項活動保險。</w:t>
      </w:r>
    </w:p>
    <w:p w:rsidR="0094325E" w:rsidRPr="001315C3" w:rsidRDefault="0094325E" w:rsidP="0094325E">
      <w:pPr>
        <w:kinsoku w:val="0"/>
        <w:adjustRightInd w:val="0"/>
        <w:spacing w:line="360" w:lineRule="exact"/>
        <w:ind w:left="1361" w:hanging="1361"/>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2.火災保險:</w:t>
      </w:r>
    </w:p>
    <w:p w:rsidR="0094325E" w:rsidRPr="001315C3" w:rsidRDefault="0094325E" w:rsidP="0094325E">
      <w:pPr>
        <w:kinsoku w:val="0"/>
        <w:adjustRightInd w:val="0"/>
        <w:spacing w:line="360" w:lineRule="exact"/>
        <w:ind w:left="1632" w:hangingChars="680" w:hanging="1632"/>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proofErr w:type="gramStart"/>
      <w:r w:rsidRPr="001315C3">
        <w:rPr>
          <w:rFonts w:ascii="標楷體" w:eastAsia="標楷體" w:hAnsi="標楷體" w:cs="Times New Roman" w:hint="eastAsia"/>
          <w:kern w:val="0"/>
          <w:szCs w:val="24"/>
        </w:rPr>
        <w:t>一</w:t>
      </w:r>
      <w:proofErr w:type="gramEnd"/>
      <w:r w:rsidRPr="001315C3">
        <w:rPr>
          <w:rFonts w:ascii="標楷體" w:eastAsia="標楷體" w:hAnsi="標楷體" w:cs="Times New Roman" w:hint="eastAsia"/>
          <w:kern w:val="0"/>
          <w:szCs w:val="24"/>
        </w:rPr>
        <w:t>)建築物保險金額:</w:t>
      </w:r>
      <w:proofErr w:type="gramStart"/>
      <w:r w:rsidRPr="001315C3">
        <w:rPr>
          <w:rFonts w:ascii="標楷體" w:eastAsia="標楷體" w:hAnsi="標楷體" w:cs="Times New Roman" w:hint="eastAsia"/>
          <w:kern w:val="0"/>
          <w:szCs w:val="24"/>
        </w:rPr>
        <w:t>NTD 142,700,000.</w:t>
      </w:r>
      <w:proofErr w:type="gramEnd"/>
    </w:p>
    <w:p w:rsidR="0094325E" w:rsidRPr="001315C3" w:rsidRDefault="0094325E" w:rsidP="0094325E">
      <w:pPr>
        <w:kinsoku w:val="0"/>
        <w:adjustRightInd w:val="0"/>
        <w:spacing w:line="360" w:lineRule="exact"/>
        <w:ind w:left="1632" w:hangingChars="680" w:hanging="1632"/>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(二)機器設備保險金額:</w:t>
      </w:r>
      <w:proofErr w:type="gramStart"/>
      <w:r w:rsidRPr="001315C3">
        <w:rPr>
          <w:rFonts w:ascii="標楷體" w:eastAsia="標楷體" w:hAnsi="標楷體" w:cs="Times New Roman" w:hint="eastAsia"/>
          <w:kern w:val="0"/>
          <w:szCs w:val="24"/>
        </w:rPr>
        <w:t>NTD 459,300,000.</w:t>
      </w:r>
      <w:proofErr w:type="gramEnd"/>
    </w:p>
    <w:p w:rsidR="0094325E" w:rsidRPr="001315C3" w:rsidRDefault="0094325E" w:rsidP="0094325E">
      <w:pPr>
        <w:kinsoku w:val="0"/>
        <w:adjustRightInd w:val="0"/>
        <w:spacing w:line="360" w:lineRule="exact"/>
        <w:ind w:left="1632" w:hangingChars="680" w:hanging="1632"/>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(三)保險標的物之殘餘物價值歸屬。</w:t>
      </w:r>
    </w:p>
    <w:p w:rsidR="0094325E" w:rsidRPr="001315C3" w:rsidRDefault="0094325E" w:rsidP="0094325E">
      <w:pPr>
        <w:kinsoku w:val="0"/>
        <w:adjustRightInd w:val="0"/>
        <w:spacing w:line="360" w:lineRule="exact"/>
        <w:ind w:left="1632" w:hangingChars="680" w:hanging="1632"/>
        <w:jc w:val="both"/>
        <w:textDirection w:val="lrTbV"/>
        <w:textAlignment w:val="baseline"/>
        <w:rPr>
          <w:rFonts w:ascii="標楷體" w:eastAsia="標楷體" w:hAnsi="標楷體" w:cs="Times New Roman"/>
          <w:kern w:val="0"/>
          <w:szCs w:val="24"/>
        </w:rPr>
      </w:pPr>
      <w:r w:rsidRPr="001315C3">
        <w:rPr>
          <w:rFonts w:ascii="標楷體" w:eastAsia="新細明體" w:hAnsi="標楷體" w:cs="Times New Roman" w:hint="eastAsia"/>
          <w:kern w:val="0"/>
          <w:szCs w:val="24"/>
        </w:rPr>
        <w:t xml:space="preserve">     (</w:t>
      </w:r>
      <w:r w:rsidRPr="001315C3">
        <w:rPr>
          <w:rFonts w:ascii="標楷體" w:eastAsia="新細明體" w:hAnsi="標楷體" w:cs="Times New Roman" w:hint="eastAsia"/>
          <w:kern w:val="0"/>
          <w:szCs w:val="24"/>
        </w:rPr>
        <w:t>四</w:t>
      </w:r>
      <w:r w:rsidRPr="001315C3">
        <w:rPr>
          <w:rFonts w:ascii="標楷體" w:eastAsia="新細明體" w:hAnsi="標楷體" w:cs="Times New Roman" w:hint="eastAsia"/>
          <w:kern w:val="0"/>
          <w:szCs w:val="24"/>
        </w:rPr>
        <w:t>)</w:t>
      </w:r>
      <w:r w:rsidRPr="001315C3">
        <w:rPr>
          <w:rFonts w:ascii="標楷體" w:eastAsia="標楷體" w:hAnsi="標楷體" w:cs="Times New Roman" w:hint="eastAsia"/>
          <w:kern w:val="0"/>
          <w:szCs w:val="24"/>
        </w:rPr>
        <w:t>標的物火災引起之救急與替代之費用，如各區</w:t>
      </w:r>
      <w:proofErr w:type="gramStart"/>
      <w:r w:rsidRPr="001315C3">
        <w:rPr>
          <w:rFonts w:ascii="標楷體" w:eastAsia="標楷體" w:hAnsi="標楷體" w:cs="Times New Roman" w:hint="eastAsia"/>
          <w:kern w:val="0"/>
          <w:szCs w:val="24"/>
        </w:rPr>
        <w:t>變電室毀損</w:t>
      </w:r>
      <w:proofErr w:type="gramEnd"/>
      <w:r w:rsidRPr="001315C3">
        <w:rPr>
          <w:rFonts w:ascii="標楷體" w:eastAsia="標楷體" w:hAnsi="標楷體" w:cs="Times New Roman" w:hint="eastAsia"/>
          <w:kern w:val="0"/>
          <w:szCs w:val="24"/>
        </w:rPr>
        <w:t>復原前，為了緊急供電所耗費之發電機油料</w:t>
      </w:r>
    </w:p>
    <w:p w:rsidR="0094325E" w:rsidRPr="001315C3" w:rsidRDefault="0094325E" w:rsidP="0094325E">
      <w:pPr>
        <w:kinsoku w:val="0"/>
        <w:adjustRightInd w:val="0"/>
        <w:spacing w:line="360" w:lineRule="exact"/>
        <w:ind w:leftChars="400" w:left="1632" w:hangingChars="280" w:hanging="672"/>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、臨時接電材料、工資及補償住戶電費等之費用理賠。</w:t>
      </w:r>
    </w:p>
    <w:p w:rsidR="0094325E" w:rsidRPr="001315C3" w:rsidRDefault="0094325E" w:rsidP="0094325E">
      <w:pPr>
        <w:kinsoku w:val="0"/>
        <w:adjustRightInd w:val="0"/>
        <w:spacing w:line="360" w:lineRule="exact"/>
        <w:ind w:leftChars="36" w:left="1718" w:hangingChars="680" w:hanging="1632"/>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(五)相關之消防設備損壞理賠。</w:t>
      </w:r>
    </w:p>
    <w:p w:rsidR="0094325E" w:rsidRPr="001315C3" w:rsidRDefault="0094325E" w:rsidP="0094325E">
      <w:pPr>
        <w:kinsoku w:val="0"/>
        <w:adjustRightInd w:val="0"/>
        <w:spacing w:line="360" w:lineRule="exact"/>
        <w:ind w:leftChars="36" w:left="1718" w:hangingChars="680" w:hanging="1632"/>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(六)標的物之現場環境回復及衍生之環境回復清理費用理賠。</w:t>
      </w:r>
    </w:p>
    <w:p w:rsidR="0094325E" w:rsidRPr="001315C3" w:rsidRDefault="0094325E" w:rsidP="0094325E">
      <w:pPr>
        <w:kinsoku w:val="0"/>
        <w:adjustRightInd w:val="0"/>
        <w:spacing w:line="360" w:lineRule="exact"/>
        <w:ind w:leftChars="36" w:left="1718" w:hangingChars="680" w:hanging="1632"/>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(七)設備</w:t>
      </w:r>
      <w:proofErr w:type="gramStart"/>
      <w:r w:rsidRPr="001315C3">
        <w:rPr>
          <w:rFonts w:ascii="標楷體" w:eastAsia="標楷體" w:hAnsi="標楷體" w:cs="Times New Roman" w:hint="eastAsia"/>
          <w:kern w:val="0"/>
          <w:szCs w:val="24"/>
        </w:rPr>
        <w:t>採</w:t>
      </w:r>
      <w:proofErr w:type="gramEnd"/>
      <w:r w:rsidRPr="001315C3">
        <w:rPr>
          <w:rFonts w:ascii="標楷體" w:eastAsia="標楷體" w:hAnsi="標楷體" w:cs="Times New Roman" w:hint="eastAsia"/>
          <w:kern w:val="0"/>
          <w:szCs w:val="24"/>
        </w:rPr>
        <w:t>重置金額理賠。</w:t>
      </w:r>
    </w:p>
    <w:p w:rsidR="0094325E" w:rsidRPr="001315C3" w:rsidRDefault="0094325E" w:rsidP="0094325E">
      <w:pPr>
        <w:kinsoku w:val="0"/>
        <w:adjustRightInd w:val="0"/>
        <w:spacing w:line="360" w:lineRule="exact"/>
        <w:ind w:leftChars="42" w:left="1733" w:hangingChars="680" w:hanging="1632"/>
        <w:jc w:val="both"/>
        <w:textDirection w:val="lrTbV"/>
        <w:textAlignment w:val="baseline"/>
        <w:rPr>
          <w:rFonts w:ascii="標楷體" w:eastAsia="標楷體" w:hAnsi="標楷體" w:cs="Times New Roman"/>
          <w:kern w:val="0"/>
          <w:szCs w:val="24"/>
        </w:rPr>
      </w:pPr>
    </w:p>
    <w:p w:rsidR="0094325E" w:rsidRPr="001315C3" w:rsidRDefault="0094325E" w:rsidP="0094325E">
      <w:pPr>
        <w:numPr>
          <w:ilvl w:val="0"/>
          <w:numId w:val="12"/>
        </w:numPr>
        <w:kinsoku w:val="0"/>
        <w:adjustRightInd w:val="0"/>
        <w:snapToGrid w:val="0"/>
        <w:spacing w:line="238" w:lineRule="auto"/>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投標文件使用文字：中文，但特殊技術或材料之圖文資料得加</w:t>
      </w:r>
      <w:proofErr w:type="gramStart"/>
      <w:r w:rsidRPr="001315C3">
        <w:rPr>
          <w:rFonts w:ascii="標楷體" w:eastAsia="標楷體" w:hAnsi="標楷體" w:cs="Times New Roman" w:hint="eastAsia"/>
          <w:kern w:val="0"/>
          <w:szCs w:val="24"/>
        </w:rPr>
        <w:t>註</w:t>
      </w:r>
      <w:proofErr w:type="gramEnd"/>
      <w:r w:rsidRPr="001315C3">
        <w:rPr>
          <w:rFonts w:ascii="標楷體" w:eastAsia="標楷體" w:hAnsi="標楷體" w:cs="Times New Roman" w:hint="eastAsia"/>
          <w:kern w:val="0"/>
          <w:szCs w:val="24"/>
        </w:rPr>
        <w:t>英文。</w:t>
      </w:r>
    </w:p>
    <w:p w:rsidR="0094325E" w:rsidRPr="001315C3" w:rsidRDefault="0094325E" w:rsidP="0094325E">
      <w:pPr>
        <w:numPr>
          <w:ilvl w:val="0"/>
          <w:numId w:val="12"/>
        </w:numPr>
        <w:kinsoku w:val="0"/>
        <w:adjustRightInd w:val="0"/>
        <w:snapToGrid w:val="0"/>
        <w:spacing w:line="238" w:lineRule="auto"/>
        <w:jc w:val="both"/>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領標事項：</w:t>
      </w:r>
    </w:p>
    <w:p w:rsidR="0094325E" w:rsidRPr="001315C3" w:rsidRDefault="0094325E" w:rsidP="0094325E">
      <w:pPr>
        <w:kinsoku w:val="0"/>
        <w:adjustRightInd w:val="0"/>
        <w:spacing w:line="360" w:lineRule="exact"/>
        <w:ind w:left="1361" w:hanging="1361"/>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r w:rsidRPr="001315C3">
        <w:rPr>
          <w:rFonts w:ascii="標楷體" w:eastAsia="SimSun" w:hAnsi="標楷體" w:cs="Times New Roman" w:hint="eastAsia"/>
          <w:kern w:val="0"/>
          <w:szCs w:val="24"/>
        </w:rPr>
        <w:t xml:space="preserve"> </w:t>
      </w:r>
      <w:r w:rsidRPr="001315C3">
        <w:rPr>
          <w:rFonts w:ascii="標楷體" w:eastAsia="標楷體" w:hAnsi="標楷體" w:cs="Times New Roman" w:hint="eastAsia"/>
          <w:kern w:val="0"/>
          <w:szCs w:val="24"/>
        </w:rPr>
        <w:t>(一)本招標案</w:t>
      </w:r>
      <w:proofErr w:type="gramStart"/>
      <w:r w:rsidRPr="001315C3">
        <w:rPr>
          <w:rFonts w:ascii="標楷體" w:eastAsia="標楷體" w:hAnsi="標楷體" w:cs="Times New Roman" w:hint="eastAsia"/>
          <w:kern w:val="0"/>
          <w:szCs w:val="24"/>
        </w:rPr>
        <w:t>採</w:t>
      </w:r>
      <w:proofErr w:type="gramEnd"/>
      <w:r w:rsidRPr="001315C3">
        <w:rPr>
          <w:rFonts w:ascii="標楷體" w:eastAsia="標楷體" w:hAnsi="標楷體" w:cs="Times New Roman" w:hint="eastAsia"/>
          <w:kern w:val="0"/>
          <w:szCs w:val="24"/>
        </w:rPr>
        <w:t>電子領標。</w:t>
      </w:r>
    </w:p>
    <w:p w:rsidR="0094325E" w:rsidRPr="001315C3" w:rsidRDefault="0094325E" w:rsidP="0094325E">
      <w:pPr>
        <w:kinsoku w:val="0"/>
        <w:adjustRightInd w:val="0"/>
        <w:spacing w:line="360" w:lineRule="exact"/>
        <w:ind w:left="1361" w:hanging="1361"/>
        <w:jc w:val="both"/>
        <w:textAlignment w:val="baseline"/>
        <w:rPr>
          <w:rFonts w:ascii="標楷體" w:eastAsia="標楷體" w:hAnsi="標楷體" w:cs="Times New Roman"/>
          <w:kern w:val="0"/>
          <w:szCs w:val="24"/>
          <w:lang w:eastAsia="zh-CN"/>
        </w:rPr>
      </w:pPr>
      <w:r w:rsidRPr="001315C3">
        <w:rPr>
          <w:rFonts w:ascii="標楷體" w:eastAsia="標楷體" w:hAnsi="標楷體" w:cs="Times New Roman" w:hint="eastAsia"/>
          <w:kern w:val="0"/>
          <w:szCs w:val="24"/>
        </w:rPr>
        <w:t xml:space="preserve">    </w:t>
      </w:r>
      <w:r w:rsidRPr="001315C3">
        <w:rPr>
          <w:rFonts w:ascii="標楷體" w:eastAsia="SimSun" w:hAnsi="標楷體" w:cs="Times New Roman" w:hint="eastAsia"/>
          <w:kern w:val="0"/>
          <w:szCs w:val="24"/>
        </w:rPr>
        <w:t xml:space="preserve"> </w:t>
      </w:r>
      <w:r w:rsidRPr="001315C3">
        <w:rPr>
          <w:rFonts w:ascii="標楷體" w:eastAsia="標楷體" w:hAnsi="標楷體" w:cs="Times New Roman" w:hint="eastAsia"/>
          <w:kern w:val="0"/>
          <w:szCs w:val="24"/>
        </w:rPr>
        <w:t>(二)得經公告網站(</w:t>
      </w:r>
      <w:r w:rsidRPr="001315C3">
        <w:rPr>
          <w:rFonts w:ascii="標楷體" w:eastAsia="標楷體" w:hAnsi="標楷體" w:cs="Times New Roman"/>
          <w:kern w:val="0"/>
          <w:szCs w:val="24"/>
        </w:rPr>
        <w:t>http://lotushill.tw/</w:t>
      </w:r>
      <w:r w:rsidRPr="001315C3">
        <w:rPr>
          <w:rFonts w:ascii="標楷體" w:eastAsia="標楷體" w:hAnsi="標楷體" w:cs="Times New Roman" w:hint="eastAsia"/>
          <w:kern w:val="0"/>
          <w:szCs w:val="24"/>
        </w:rPr>
        <w:t>)下載本招標文件電子檔</w:t>
      </w:r>
      <w:r w:rsidRPr="001315C3">
        <w:rPr>
          <w:rFonts w:ascii="標楷體" w:eastAsia="標楷體" w:hAnsi="標楷體" w:cs="Times New Roman" w:hint="eastAsia"/>
          <w:kern w:val="0"/>
          <w:szCs w:val="24"/>
          <w:lang w:eastAsia="zh-CN"/>
        </w:rPr>
        <w:t>。</w:t>
      </w:r>
    </w:p>
    <w:p w:rsidR="0094325E" w:rsidRPr="001315C3" w:rsidRDefault="0094325E" w:rsidP="0094325E">
      <w:pPr>
        <w:numPr>
          <w:ilvl w:val="0"/>
          <w:numId w:val="12"/>
        </w:numPr>
        <w:kinsoku w:val="0"/>
        <w:adjustRightInd w:val="0"/>
        <w:snapToGrid w:val="0"/>
        <w:spacing w:line="238" w:lineRule="auto"/>
        <w:jc w:val="both"/>
        <w:textDirection w:val="lrTbV"/>
        <w:textAlignment w:val="baseline"/>
        <w:rPr>
          <w:rFonts w:ascii="標楷體" w:eastAsia="標楷體" w:hAnsi="標楷體" w:cs="Arial"/>
          <w:bCs/>
          <w:spacing w:val="14"/>
          <w:kern w:val="0"/>
          <w:szCs w:val="24"/>
        </w:rPr>
      </w:pPr>
      <w:r w:rsidRPr="001315C3">
        <w:rPr>
          <w:rFonts w:ascii="標楷體" w:eastAsia="標楷體" w:hAnsi="標楷體" w:cs="Arial"/>
          <w:spacing w:val="14"/>
          <w:kern w:val="0"/>
          <w:szCs w:val="24"/>
        </w:rPr>
        <w:t>投標期限：</w:t>
      </w:r>
      <w:r w:rsidRPr="001315C3">
        <w:rPr>
          <w:rFonts w:ascii="標楷體" w:eastAsia="標楷體" w:hAnsi="標楷體" w:cs="Times New Roman" w:hint="eastAsia"/>
          <w:kern w:val="0"/>
          <w:szCs w:val="24"/>
        </w:rPr>
        <w:t>104年</w:t>
      </w:r>
      <w:r w:rsidR="00DB3D8B">
        <w:rPr>
          <w:rFonts w:ascii="標楷體" w:eastAsia="標楷體" w:hAnsi="標楷體" w:cs="Times New Roman" w:hint="eastAsia"/>
          <w:kern w:val="0"/>
          <w:szCs w:val="24"/>
        </w:rPr>
        <w:t>08</w:t>
      </w:r>
      <w:r w:rsidRPr="001315C3">
        <w:rPr>
          <w:rFonts w:ascii="標楷體" w:eastAsia="標楷體" w:hAnsi="標楷體" w:cs="Times New Roman" w:hint="eastAsia"/>
          <w:kern w:val="0"/>
          <w:szCs w:val="24"/>
        </w:rPr>
        <w:t>月</w:t>
      </w:r>
      <w:r w:rsidR="00DB3D8B">
        <w:rPr>
          <w:rFonts w:ascii="標楷體" w:eastAsia="標楷體" w:hAnsi="標楷體" w:cs="Times New Roman" w:hint="eastAsia"/>
          <w:kern w:val="0"/>
          <w:szCs w:val="24"/>
        </w:rPr>
        <w:t>12</w:t>
      </w:r>
      <w:r w:rsidRPr="001315C3">
        <w:rPr>
          <w:rFonts w:ascii="標楷體" w:eastAsia="標楷體" w:hAnsi="標楷體" w:cs="Times New Roman" w:hint="eastAsia"/>
          <w:kern w:val="0"/>
          <w:szCs w:val="24"/>
        </w:rPr>
        <w:t>日</w:t>
      </w:r>
      <w:r w:rsidRPr="001315C3">
        <w:rPr>
          <w:rFonts w:ascii="標楷體" w:eastAsia="標楷體" w:hAnsi="標楷體" w:cs="Arial"/>
          <w:spacing w:val="14"/>
          <w:kern w:val="0"/>
          <w:szCs w:val="24"/>
        </w:rPr>
        <w:t>前</w:t>
      </w:r>
      <w:r w:rsidRPr="001315C3">
        <w:rPr>
          <w:rFonts w:ascii="標楷體" w:eastAsia="標楷體" w:hAnsi="標楷體" w:cs="Arial"/>
          <w:bCs/>
          <w:spacing w:val="14"/>
          <w:kern w:val="0"/>
          <w:szCs w:val="24"/>
        </w:rPr>
        <w:t>以掛號(郵戳為憑)郵遞</w:t>
      </w:r>
      <w:r w:rsidRPr="001315C3">
        <w:rPr>
          <w:rFonts w:ascii="標楷體" w:eastAsia="標楷體" w:hAnsi="標楷體" w:cs="Arial" w:hint="eastAsia"/>
          <w:bCs/>
          <w:spacing w:val="14"/>
          <w:kern w:val="0"/>
          <w:szCs w:val="24"/>
        </w:rPr>
        <w:t xml:space="preserve">台北市南港郵政第2133號信箱 </w:t>
      </w:r>
      <w:r w:rsidRPr="001315C3">
        <w:rPr>
          <w:rFonts w:ascii="標楷體" w:eastAsia="標楷體" w:hAnsi="標楷體" w:cs="Arial" w:hint="eastAsia"/>
          <w:spacing w:val="14"/>
          <w:kern w:val="0"/>
          <w:szCs w:val="24"/>
        </w:rPr>
        <w:t>水蓮山莊公寓大廈管理委員會</w:t>
      </w:r>
      <w:r w:rsidRPr="001315C3">
        <w:rPr>
          <w:rFonts w:ascii="標楷體" w:eastAsia="標楷體" w:hAnsi="標楷體" w:cs="Arial"/>
          <w:bCs/>
          <w:spacing w:val="14"/>
          <w:kern w:val="0"/>
          <w:szCs w:val="24"/>
        </w:rPr>
        <w:t>。</w:t>
      </w:r>
      <w:r w:rsidRPr="001315C3">
        <w:rPr>
          <w:rFonts w:ascii="標楷體" w:eastAsia="標楷體" w:hAnsi="標楷體" w:cs="Arial"/>
          <w:spacing w:val="14"/>
          <w:kern w:val="0"/>
          <w:szCs w:val="24"/>
        </w:rPr>
        <w:t>(投標資料郵遞或直接送至機構地址，不得參加投標</w:t>
      </w:r>
      <w:proofErr w:type="gramStart"/>
      <w:r w:rsidRPr="001315C3">
        <w:rPr>
          <w:rFonts w:ascii="標楷體" w:eastAsia="標楷體" w:hAnsi="標楷體" w:cs="Times New Roman" w:hint="eastAsia"/>
          <w:kern w:val="0"/>
          <w:szCs w:val="24"/>
        </w:rPr>
        <w:t>）</w:t>
      </w:r>
      <w:proofErr w:type="gramEnd"/>
      <w:r w:rsidRPr="001315C3">
        <w:rPr>
          <w:rFonts w:ascii="標楷體" w:eastAsia="標楷體" w:hAnsi="標楷體" w:cs="Times New Roman" w:hint="eastAsia"/>
          <w:kern w:val="0"/>
          <w:szCs w:val="24"/>
        </w:rPr>
        <w:t>。</w:t>
      </w:r>
    </w:p>
    <w:p w:rsidR="0094325E" w:rsidRPr="001315C3" w:rsidRDefault="0094325E" w:rsidP="0094325E">
      <w:pPr>
        <w:numPr>
          <w:ilvl w:val="0"/>
          <w:numId w:val="12"/>
        </w:numPr>
        <w:kinsoku w:val="0"/>
        <w:adjustRightInd w:val="0"/>
        <w:snapToGrid w:val="0"/>
        <w:spacing w:line="238" w:lineRule="auto"/>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開標日期:104年08月14日20:00時。</w:t>
      </w:r>
    </w:p>
    <w:p w:rsidR="0094325E" w:rsidRPr="001315C3" w:rsidRDefault="0094325E" w:rsidP="0094325E">
      <w:pPr>
        <w:numPr>
          <w:ilvl w:val="0"/>
          <w:numId w:val="12"/>
        </w:numPr>
        <w:kinsoku w:val="0"/>
        <w:adjustRightInd w:val="0"/>
        <w:snapToGrid w:val="0"/>
        <w:spacing w:line="238" w:lineRule="auto"/>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lang w:eastAsia="zh-CN"/>
        </w:rPr>
        <w:t>投標辦法：</w:t>
      </w:r>
    </w:p>
    <w:p w:rsidR="0094325E" w:rsidRPr="001315C3" w:rsidRDefault="0094325E" w:rsidP="0094325E">
      <w:pPr>
        <w:numPr>
          <w:ilvl w:val="0"/>
          <w:numId w:val="13"/>
        </w:numPr>
        <w:kinsoku w:val="0"/>
        <w:adjustRightInd w:val="0"/>
        <w:spacing w:line="360" w:lineRule="exact"/>
        <w:ind w:left="1134" w:hanging="564"/>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廠商投標單（不得使用鉛筆書寫）密封後連同資格證明文件以大信封套合併裝訂。所有內外封套外部</w:t>
      </w:r>
      <w:proofErr w:type="gramStart"/>
      <w:r w:rsidRPr="001315C3">
        <w:rPr>
          <w:rFonts w:ascii="標楷體" w:eastAsia="標楷體" w:hAnsi="標楷體" w:cs="Times New Roman" w:hint="eastAsia"/>
          <w:kern w:val="0"/>
          <w:szCs w:val="24"/>
        </w:rPr>
        <w:t>皆需書明</w:t>
      </w:r>
      <w:proofErr w:type="gramEnd"/>
      <w:r w:rsidRPr="001315C3">
        <w:rPr>
          <w:rFonts w:ascii="標楷體" w:eastAsia="標楷體" w:hAnsi="標楷體" w:cs="Times New Roman" w:hint="eastAsia"/>
          <w:kern w:val="0"/>
          <w:szCs w:val="24"/>
        </w:rPr>
        <w:t>投標廠商名稱、地址、電話及招標</w:t>
      </w:r>
      <w:proofErr w:type="gramStart"/>
      <w:r w:rsidRPr="001315C3">
        <w:rPr>
          <w:rFonts w:ascii="標楷體" w:eastAsia="標楷體" w:hAnsi="標楷體" w:cs="Times New Roman" w:hint="eastAsia"/>
          <w:kern w:val="0"/>
          <w:szCs w:val="24"/>
        </w:rPr>
        <w:t>標</w:t>
      </w:r>
      <w:proofErr w:type="gramEnd"/>
      <w:r w:rsidRPr="001315C3">
        <w:rPr>
          <w:rFonts w:ascii="標楷體" w:eastAsia="標楷體" w:hAnsi="標楷體" w:cs="Times New Roman" w:hint="eastAsia"/>
          <w:kern w:val="0"/>
          <w:szCs w:val="24"/>
        </w:rPr>
        <w:t>的；本招標不提供電子投標。</w:t>
      </w:r>
    </w:p>
    <w:p w:rsidR="0094325E" w:rsidRPr="001315C3" w:rsidRDefault="0094325E" w:rsidP="0094325E">
      <w:pPr>
        <w:numPr>
          <w:ilvl w:val="0"/>
          <w:numId w:val="13"/>
        </w:numPr>
        <w:kinsoku w:val="0"/>
        <w:adjustRightInd w:val="0"/>
        <w:spacing w:line="360" w:lineRule="exact"/>
        <w:ind w:left="1134" w:hanging="564"/>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價格封與資格文件分開封裝。</w:t>
      </w:r>
    </w:p>
    <w:p w:rsidR="0094325E" w:rsidRPr="001315C3" w:rsidRDefault="0094325E" w:rsidP="0094325E">
      <w:pPr>
        <w:numPr>
          <w:ilvl w:val="0"/>
          <w:numId w:val="13"/>
        </w:numPr>
        <w:kinsoku w:val="0"/>
        <w:adjustRightInd w:val="0"/>
        <w:spacing w:line="360" w:lineRule="exact"/>
        <w:ind w:left="1134" w:hanging="564"/>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lastRenderedPageBreak/>
        <w:t>投標單信封未加蓋騎縫章密封，內文未蓋騎縫章或資格不符者，以棄權論，本招標不接受補件。</w:t>
      </w:r>
    </w:p>
    <w:p w:rsidR="0094325E" w:rsidRPr="001315C3" w:rsidRDefault="0094325E" w:rsidP="0094325E">
      <w:pPr>
        <w:numPr>
          <w:ilvl w:val="0"/>
          <w:numId w:val="13"/>
        </w:numPr>
        <w:kinsoku w:val="0"/>
        <w:adjustRightInd w:val="0"/>
        <w:spacing w:line="360" w:lineRule="exact"/>
        <w:ind w:left="1134" w:hanging="564"/>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得標廠商須於決標後七日內將證件正本送本會查驗，經查驗結果影本與正本不符或逾時未辦理查驗，本會得取消其得標資格。</w:t>
      </w:r>
    </w:p>
    <w:p w:rsidR="0094325E" w:rsidRPr="001315C3" w:rsidRDefault="0094325E" w:rsidP="0094325E">
      <w:pPr>
        <w:numPr>
          <w:ilvl w:val="0"/>
          <w:numId w:val="13"/>
        </w:numPr>
        <w:kinsoku w:val="0"/>
        <w:adjustRightInd w:val="0"/>
        <w:spacing w:line="360" w:lineRule="exact"/>
        <w:ind w:left="1134" w:hanging="564"/>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本案資格文件與價格</w:t>
      </w:r>
      <w:proofErr w:type="gramStart"/>
      <w:r w:rsidRPr="001315C3">
        <w:rPr>
          <w:rFonts w:ascii="標楷體" w:eastAsia="標楷體" w:hAnsi="標楷體" w:cs="Times New Roman" w:hint="eastAsia"/>
          <w:kern w:val="0"/>
          <w:szCs w:val="24"/>
        </w:rPr>
        <w:t>文件均應加</w:t>
      </w:r>
      <w:proofErr w:type="gramEnd"/>
      <w:r w:rsidRPr="001315C3">
        <w:rPr>
          <w:rFonts w:ascii="標楷體" w:eastAsia="標楷體" w:hAnsi="標楷體" w:cs="Times New Roman" w:hint="eastAsia"/>
          <w:kern w:val="0"/>
          <w:szCs w:val="24"/>
        </w:rPr>
        <w:t>蓋公司及負責人印章。</w:t>
      </w:r>
    </w:p>
    <w:p w:rsidR="0094325E" w:rsidRPr="001315C3" w:rsidRDefault="0094325E" w:rsidP="0094325E">
      <w:pPr>
        <w:numPr>
          <w:ilvl w:val="0"/>
          <w:numId w:val="12"/>
        </w:numPr>
        <w:kinsoku w:val="0"/>
        <w:adjustRightInd w:val="0"/>
        <w:snapToGrid w:val="0"/>
        <w:spacing w:line="238" w:lineRule="auto"/>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lang w:eastAsia="zh-CN"/>
        </w:rPr>
        <w:t>投標廠商資格：</w:t>
      </w:r>
    </w:p>
    <w:p w:rsidR="0094325E" w:rsidRPr="001315C3" w:rsidRDefault="0094325E" w:rsidP="0094325E">
      <w:pPr>
        <w:numPr>
          <w:ilvl w:val="0"/>
          <w:numId w:val="14"/>
        </w:numPr>
        <w:kinsoku w:val="0"/>
        <w:adjustRightInd w:val="0"/>
        <w:spacing w:line="360" w:lineRule="exact"/>
        <w:ind w:left="1134" w:hanging="564"/>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經行政院金融監督管理委員會核准設立之產物保險公司並提供行政院金融監督管理委員會核發之保險業營業執照。</w:t>
      </w:r>
    </w:p>
    <w:p w:rsidR="0094325E" w:rsidRPr="001315C3" w:rsidRDefault="0094325E" w:rsidP="0094325E">
      <w:pPr>
        <w:numPr>
          <w:ilvl w:val="0"/>
          <w:numId w:val="14"/>
        </w:numPr>
        <w:kinsoku w:val="0"/>
        <w:adjustRightInd w:val="0"/>
        <w:spacing w:line="360" w:lineRule="exact"/>
        <w:ind w:left="1134" w:hanging="564"/>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提出產物保險業同業公會會員證明文件。</w:t>
      </w:r>
    </w:p>
    <w:p w:rsidR="0094325E" w:rsidRPr="001315C3" w:rsidRDefault="0094325E" w:rsidP="0094325E">
      <w:pPr>
        <w:numPr>
          <w:ilvl w:val="0"/>
          <w:numId w:val="12"/>
        </w:numPr>
        <w:kinsoku w:val="0"/>
        <w:adjustRightInd w:val="0"/>
        <w:snapToGrid w:val="0"/>
        <w:spacing w:line="238" w:lineRule="auto"/>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開標： </w:t>
      </w:r>
    </w:p>
    <w:p w:rsidR="0094325E" w:rsidRPr="001315C3" w:rsidRDefault="0094325E" w:rsidP="0094325E">
      <w:pPr>
        <w:numPr>
          <w:ilvl w:val="0"/>
          <w:numId w:val="15"/>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 xml:space="preserve">   </w:t>
      </w:r>
      <w:r w:rsidRPr="001315C3">
        <w:rPr>
          <w:rFonts w:ascii="標楷體" w:eastAsia="標楷體" w:hAnsi="標楷體" w:cs="Times New Roman" w:hint="eastAsia"/>
          <w:kern w:val="0"/>
          <w:szCs w:val="24"/>
          <w:lang w:eastAsia="zh-CN"/>
        </w:rPr>
        <w:t>廠商資格審查。</w:t>
      </w:r>
    </w:p>
    <w:p w:rsidR="0094325E" w:rsidRPr="001315C3" w:rsidRDefault="0094325E" w:rsidP="0094325E">
      <w:pPr>
        <w:numPr>
          <w:ilvl w:val="0"/>
          <w:numId w:val="15"/>
        </w:numPr>
        <w:adjustRightInd w:val="0"/>
        <w:snapToGrid w:val="0"/>
        <w:spacing w:line="238" w:lineRule="auto"/>
        <w:textAlignment w:val="baseline"/>
        <w:rPr>
          <w:rFonts w:ascii="標楷體" w:eastAsia="標楷體" w:hAnsi="標楷體" w:cs="Times New Roman"/>
          <w:bCs/>
          <w:szCs w:val="24"/>
        </w:rPr>
      </w:pPr>
      <w:r w:rsidRPr="001315C3">
        <w:rPr>
          <w:rFonts w:ascii="標楷體" w:eastAsia="標楷體" w:hAnsi="標楷體" w:cs="Times New Roman" w:hint="eastAsia"/>
          <w:szCs w:val="24"/>
        </w:rPr>
        <w:t>決標原則：</w:t>
      </w:r>
      <w:r w:rsidRPr="001315C3">
        <w:rPr>
          <w:rFonts w:ascii="標楷體" w:eastAsia="標楷體" w:hAnsi="標楷體" w:cs="Times New Roman" w:hint="eastAsia"/>
          <w:bCs/>
          <w:szCs w:val="24"/>
        </w:rPr>
        <w:t>以合於招標文件規定，且在底價以內之最低標，為得標廠商；</w:t>
      </w:r>
    </w:p>
    <w:p w:rsidR="0094325E" w:rsidRPr="001315C3" w:rsidRDefault="0094325E" w:rsidP="0094325E">
      <w:pPr>
        <w:adjustRightInd w:val="0"/>
        <w:snapToGrid w:val="0"/>
        <w:spacing w:line="238" w:lineRule="auto"/>
        <w:textAlignment w:val="baseline"/>
        <w:rPr>
          <w:rFonts w:ascii="標楷體" w:eastAsia="標楷體" w:hAnsi="標楷體" w:cs="Times New Roman"/>
          <w:bCs/>
          <w:szCs w:val="24"/>
        </w:rPr>
      </w:pPr>
      <w:r w:rsidRPr="001315C3">
        <w:rPr>
          <w:rFonts w:ascii="標楷體" w:eastAsia="標楷體" w:hAnsi="標楷體" w:cs="Times New Roman" w:hint="eastAsia"/>
          <w:bCs/>
          <w:szCs w:val="24"/>
        </w:rPr>
        <w:t xml:space="preserve">                  合於招標文件規定之投標廠商之最低標價，超過底價時，得</w:t>
      </w:r>
    </w:p>
    <w:p w:rsidR="0094325E" w:rsidRPr="001315C3" w:rsidRDefault="0094325E" w:rsidP="0094325E">
      <w:pPr>
        <w:adjustRightInd w:val="0"/>
        <w:snapToGrid w:val="0"/>
        <w:spacing w:line="238" w:lineRule="auto"/>
        <w:textAlignment w:val="baseline"/>
        <w:rPr>
          <w:rFonts w:ascii="標楷體" w:eastAsia="標楷體" w:hAnsi="標楷體" w:cs="Times New Roman"/>
          <w:bCs/>
          <w:szCs w:val="24"/>
        </w:rPr>
      </w:pPr>
      <w:r w:rsidRPr="001315C3">
        <w:rPr>
          <w:rFonts w:ascii="標楷體" w:eastAsia="標楷體" w:hAnsi="標楷體" w:cs="Times New Roman" w:hint="eastAsia"/>
          <w:bCs/>
          <w:szCs w:val="24"/>
        </w:rPr>
        <w:t xml:space="preserve">                  洽該最低標廠商減價，減價結果仍超過底價時，得由所有合</w:t>
      </w:r>
    </w:p>
    <w:p w:rsidR="0094325E" w:rsidRPr="001315C3" w:rsidRDefault="0094325E" w:rsidP="0094325E">
      <w:pPr>
        <w:adjustRightInd w:val="0"/>
        <w:snapToGrid w:val="0"/>
        <w:spacing w:line="238" w:lineRule="auto"/>
        <w:textAlignment w:val="baseline"/>
        <w:rPr>
          <w:rFonts w:ascii="標楷體" w:eastAsia="標楷體" w:hAnsi="標楷體" w:cs="Times New Roman"/>
          <w:bCs/>
          <w:szCs w:val="24"/>
        </w:rPr>
      </w:pPr>
      <w:r w:rsidRPr="001315C3">
        <w:rPr>
          <w:rFonts w:ascii="標楷體" w:eastAsia="標楷體" w:hAnsi="標楷體" w:cs="Times New Roman" w:hint="eastAsia"/>
          <w:bCs/>
          <w:szCs w:val="24"/>
        </w:rPr>
        <w:t xml:space="preserve">                  於招標文件規定之投標廠商，</w:t>
      </w:r>
      <w:proofErr w:type="gramStart"/>
      <w:r w:rsidRPr="001315C3">
        <w:rPr>
          <w:rFonts w:ascii="標楷體" w:eastAsia="標楷體" w:hAnsi="標楷體" w:cs="Times New Roman" w:hint="eastAsia"/>
          <w:bCs/>
          <w:szCs w:val="24"/>
        </w:rPr>
        <w:t>重新比減價格</w:t>
      </w:r>
      <w:proofErr w:type="gramEnd"/>
      <w:r w:rsidRPr="001315C3">
        <w:rPr>
          <w:rFonts w:ascii="標楷體" w:eastAsia="標楷體" w:hAnsi="標楷體" w:cs="Times New Roman" w:hint="eastAsia"/>
          <w:bCs/>
          <w:szCs w:val="24"/>
        </w:rPr>
        <w:t>，決標時則不通</w:t>
      </w:r>
    </w:p>
    <w:p w:rsidR="0094325E" w:rsidRPr="001315C3" w:rsidRDefault="0094325E" w:rsidP="0094325E">
      <w:pPr>
        <w:adjustRightInd w:val="0"/>
        <w:snapToGrid w:val="0"/>
        <w:spacing w:line="238" w:lineRule="auto"/>
        <w:textAlignment w:val="baseline"/>
        <w:rPr>
          <w:rFonts w:ascii="標楷體" w:eastAsia="SimSun" w:hAnsi="標楷體" w:cs="Times New Roman"/>
          <w:bCs/>
          <w:szCs w:val="24"/>
        </w:rPr>
      </w:pPr>
      <w:r w:rsidRPr="001315C3">
        <w:rPr>
          <w:rFonts w:ascii="標楷體" w:eastAsia="標楷體" w:hAnsi="標楷體" w:cs="Times New Roman" w:hint="eastAsia"/>
          <w:bCs/>
          <w:szCs w:val="24"/>
        </w:rPr>
        <w:t xml:space="preserve">                  知投標廠商到場，其結果應通知各投標廠商。</w:t>
      </w:r>
    </w:p>
    <w:p w:rsidR="0094325E" w:rsidRPr="001315C3" w:rsidRDefault="0094325E" w:rsidP="0094325E">
      <w:pPr>
        <w:numPr>
          <w:ilvl w:val="0"/>
          <w:numId w:val="12"/>
        </w:numPr>
        <w:kinsoku w:val="0"/>
        <w:adjustRightInd w:val="0"/>
        <w:snapToGrid w:val="0"/>
        <w:spacing w:line="238" w:lineRule="auto"/>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廠商有下列情形之</w:t>
      </w:r>
      <w:proofErr w:type="gramStart"/>
      <w:r w:rsidRPr="001315C3">
        <w:rPr>
          <w:rFonts w:ascii="標楷體" w:eastAsia="標楷體" w:hAnsi="標楷體" w:cs="Times New Roman" w:hint="eastAsia"/>
          <w:kern w:val="0"/>
          <w:szCs w:val="24"/>
        </w:rPr>
        <w:t>一</w:t>
      </w:r>
      <w:proofErr w:type="gramEnd"/>
      <w:r w:rsidRPr="001315C3">
        <w:rPr>
          <w:rFonts w:ascii="標楷體" w:eastAsia="標楷體" w:hAnsi="標楷體" w:cs="Times New Roman" w:hint="eastAsia"/>
          <w:kern w:val="0"/>
          <w:szCs w:val="24"/>
        </w:rPr>
        <w:t>者，</w:t>
      </w:r>
      <w:proofErr w:type="gramStart"/>
      <w:r w:rsidRPr="001315C3">
        <w:rPr>
          <w:rFonts w:ascii="標楷體" w:eastAsia="標楷體" w:hAnsi="標楷體" w:cs="Times New Roman" w:hint="eastAsia"/>
          <w:kern w:val="0"/>
          <w:szCs w:val="24"/>
        </w:rPr>
        <w:t>取消其投</w:t>
      </w:r>
      <w:proofErr w:type="gramEnd"/>
      <w:r w:rsidRPr="001315C3">
        <w:rPr>
          <w:rFonts w:ascii="標楷體" w:eastAsia="標楷體" w:hAnsi="標楷體" w:cs="Times New Roman" w:hint="eastAsia"/>
          <w:kern w:val="0"/>
          <w:szCs w:val="24"/>
        </w:rPr>
        <w:t>（得）標資格：</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容許他人借用本人名義或證件參加投標者</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冒用他人名義或證件投標，或以偽造、變造之文件參加投標者。</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偽造、變造投標、契約或履約相關文件，經查明屬實者。</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受停業處分期間仍參加投標者。</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得標後無正當理由而不訂約或不履行契約者或</w:t>
      </w:r>
      <w:proofErr w:type="gramStart"/>
      <w:r w:rsidRPr="001315C3">
        <w:rPr>
          <w:rFonts w:ascii="標楷體" w:eastAsia="標楷體" w:hAnsi="標楷體" w:cs="Times New Roman" w:hint="eastAsia"/>
          <w:kern w:val="0"/>
          <w:szCs w:val="24"/>
        </w:rPr>
        <w:t>轉包者</w:t>
      </w:r>
      <w:proofErr w:type="gramEnd"/>
      <w:r w:rsidRPr="001315C3">
        <w:rPr>
          <w:rFonts w:ascii="標楷體" w:eastAsia="標楷體" w:hAnsi="標楷體" w:cs="Times New Roman" w:hint="eastAsia"/>
          <w:kern w:val="0"/>
          <w:szCs w:val="24"/>
        </w:rPr>
        <w:t>。</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因可歸責於廠商之事由，致解除或終止契約者。</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查驗或驗收不合格，且未於通知期限內異議、申訴、起訴或依規定辦理者。</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因可歸責於廠商之事由，致延誤履約期限，情節重大者。</w:t>
      </w:r>
    </w:p>
    <w:p w:rsidR="0094325E" w:rsidRPr="001315C3" w:rsidRDefault="0094325E" w:rsidP="0094325E">
      <w:pPr>
        <w:numPr>
          <w:ilvl w:val="0"/>
          <w:numId w:val="16"/>
        </w:numPr>
        <w:kinsoku w:val="0"/>
        <w:adjustRightInd w:val="0"/>
        <w:spacing w:line="360" w:lineRule="exact"/>
        <w:ind w:left="1134" w:hanging="567"/>
        <w:jc w:val="both"/>
        <w:textDirection w:val="lrTbV"/>
        <w:textAlignment w:val="baseline"/>
        <w:rPr>
          <w:rFonts w:ascii="標楷體" w:eastAsia="標楷體" w:hAnsi="標楷體" w:cs="Times New Roman"/>
          <w:kern w:val="0"/>
          <w:szCs w:val="24"/>
        </w:rPr>
      </w:pPr>
      <w:r w:rsidRPr="001315C3">
        <w:rPr>
          <w:rFonts w:ascii="標楷體" w:eastAsia="標楷體" w:hAnsi="標楷體" w:cs="Times New Roman" w:hint="eastAsia"/>
          <w:kern w:val="0"/>
          <w:szCs w:val="24"/>
        </w:rPr>
        <w:t>經政府於採購公報刊登之不良廠商，不得參加投標。</w:t>
      </w: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Pr="001315C3"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Default="0094325E" w:rsidP="0094325E">
      <w:pPr>
        <w:kinsoku w:val="0"/>
        <w:adjustRightInd w:val="0"/>
        <w:spacing w:line="360" w:lineRule="exact"/>
        <w:ind w:left="1134"/>
        <w:jc w:val="both"/>
        <w:textDirection w:val="lrTbV"/>
        <w:textAlignment w:val="baseline"/>
        <w:rPr>
          <w:rFonts w:ascii="標楷體" w:eastAsia="標楷體" w:hAnsi="標楷體" w:cs="Times New Roman"/>
          <w:kern w:val="0"/>
          <w:sz w:val="20"/>
          <w:szCs w:val="20"/>
        </w:rPr>
      </w:pPr>
    </w:p>
    <w:p w:rsidR="0094325E" w:rsidRDefault="0094325E" w:rsidP="0094325E">
      <w:pPr>
        <w:tabs>
          <w:tab w:val="center" w:pos="4153"/>
          <w:tab w:val="right" w:pos="8306"/>
        </w:tabs>
        <w:snapToGrid w:val="0"/>
        <w:jc w:val="center"/>
        <w:rPr>
          <w:rFonts w:ascii="標楷體" w:eastAsia="標楷體" w:hAnsi="標楷體" w:cs="Times New Roman"/>
          <w:sz w:val="36"/>
          <w:szCs w:val="36"/>
        </w:rPr>
      </w:pPr>
    </w:p>
    <w:p w:rsidR="0032739A" w:rsidRDefault="0032739A" w:rsidP="0094325E">
      <w:pPr>
        <w:tabs>
          <w:tab w:val="center" w:pos="4153"/>
          <w:tab w:val="right" w:pos="8306"/>
        </w:tabs>
        <w:snapToGrid w:val="0"/>
        <w:jc w:val="center"/>
        <w:rPr>
          <w:rFonts w:ascii="標楷體" w:eastAsia="標楷體" w:hAnsi="標楷體" w:cs="Times New Roman" w:hint="eastAsia"/>
          <w:sz w:val="36"/>
          <w:szCs w:val="36"/>
        </w:rPr>
      </w:pPr>
    </w:p>
    <w:p w:rsidR="0094325E" w:rsidRPr="001315C3" w:rsidRDefault="0094325E" w:rsidP="0094325E">
      <w:pPr>
        <w:tabs>
          <w:tab w:val="center" w:pos="4153"/>
          <w:tab w:val="right" w:pos="8306"/>
        </w:tabs>
        <w:snapToGrid w:val="0"/>
        <w:jc w:val="center"/>
        <w:rPr>
          <w:rFonts w:ascii="標楷體" w:eastAsia="標楷體" w:hAnsi="標楷體" w:cs="Times New Roman"/>
          <w:sz w:val="36"/>
          <w:szCs w:val="36"/>
        </w:rPr>
      </w:pPr>
      <w:bookmarkStart w:id="0" w:name="_GoBack"/>
      <w:bookmarkEnd w:id="0"/>
      <w:r w:rsidRPr="001315C3">
        <w:rPr>
          <w:rFonts w:ascii="標楷體" w:eastAsia="標楷體" w:hAnsi="標楷體" w:cs="Times New Roman" w:hint="eastAsia"/>
          <w:sz w:val="36"/>
          <w:szCs w:val="36"/>
        </w:rPr>
        <w:lastRenderedPageBreak/>
        <w:t>標   單</w:t>
      </w:r>
    </w:p>
    <w:p w:rsidR="0094325E" w:rsidRPr="001315C3" w:rsidRDefault="0094325E" w:rsidP="0094325E">
      <w:pPr>
        <w:tabs>
          <w:tab w:val="center" w:pos="4153"/>
          <w:tab w:val="right" w:pos="8306"/>
        </w:tabs>
        <w:snapToGrid w:val="0"/>
        <w:jc w:val="center"/>
        <w:rPr>
          <w:rFonts w:ascii="標楷體" w:eastAsia="標楷體" w:hAnsi="標楷體" w:cs="Times New Roman"/>
          <w:sz w:val="20"/>
          <w:szCs w:val="20"/>
        </w:rPr>
      </w:pPr>
      <w:r w:rsidRPr="001315C3">
        <w:rPr>
          <w:rFonts w:ascii="標楷體" w:eastAsia="標楷體" w:hAnsi="標楷體" w:cs="Times New Roman" w:hint="eastAsia"/>
          <w:sz w:val="36"/>
          <w:szCs w:val="36"/>
        </w:rPr>
        <w:t>標案名稱：社區公共意外責任險與火災保險</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2"/>
        <w:gridCol w:w="2533"/>
        <w:gridCol w:w="2433"/>
        <w:gridCol w:w="2435"/>
      </w:tblGrid>
      <w:tr w:rsidR="0094325E" w:rsidRPr="001315C3" w:rsidTr="00DB3D8B">
        <w:trPr>
          <w:trHeight w:val="352"/>
        </w:trPr>
        <w:tc>
          <w:tcPr>
            <w:tcW w:w="1198" w:type="pct"/>
            <w:vAlign w:val="center"/>
          </w:tcPr>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項目</w:t>
            </w:r>
          </w:p>
        </w:tc>
        <w:tc>
          <w:tcPr>
            <w:tcW w:w="1301" w:type="pct"/>
            <w:vAlign w:val="center"/>
          </w:tcPr>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年保費金額(含稅)</w:t>
            </w:r>
          </w:p>
        </w:tc>
        <w:tc>
          <w:tcPr>
            <w:tcW w:w="1250" w:type="pct"/>
            <w:vAlign w:val="center"/>
          </w:tcPr>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合計</w:t>
            </w:r>
          </w:p>
        </w:tc>
        <w:tc>
          <w:tcPr>
            <w:tcW w:w="1250" w:type="pct"/>
            <w:vAlign w:val="center"/>
          </w:tcPr>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優先減價</w:t>
            </w:r>
          </w:p>
        </w:tc>
      </w:tr>
      <w:tr w:rsidR="0094325E" w:rsidRPr="001315C3" w:rsidTr="00DB3D8B">
        <w:trPr>
          <w:trHeight w:val="556"/>
        </w:trPr>
        <w:tc>
          <w:tcPr>
            <w:tcW w:w="1198" w:type="pct"/>
            <w:vAlign w:val="center"/>
          </w:tcPr>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公共意外責任險</w:t>
            </w:r>
          </w:p>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自負額2,500元</w:t>
            </w:r>
          </w:p>
        </w:tc>
        <w:tc>
          <w:tcPr>
            <w:tcW w:w="1301" w:type="pct"/>
            <w:vAlign w:val="center"/>
          </w:tcPr>
          <w:p w:rsidR="0094325E" w:rsidRPr="001315C3" w:rsidRDefault="0094325E" w:rsidP="00DB3D8B">
            <w:pPr>
              <w:jc w:val="center"/>
              <w:rPr>
                <w:rFonts w:ascii="標楷體" w:eastAsia="標楷體" w:hAnsi="標楷體" w:cs="Times New Roman"/>
                <w:szCs w:val="24"/>
              </w:rPr>
            </w:pPr>
          </w:p>
        </w:tc>
        <w:tc>
          <w:tcPr>
            <w:tcW w:w="1250" w:type="pct"/>
            <w:vMerge w:val="restart"/>
            <w:vAlign w:val="center"/>
          </w:tcPr>
          <w:p w:rsidR="0094325E" w:rsidRPr="001315C3" w:rsidRDefault="0094325E" w:rsidP="00DB3D8B">
            <w:pPr>
              <w:jc w:val="center"/>
              <w:rPr>
                <w:rFonts w:ascii="標楷體" w:eastAsia="標楷體" w:hAnsi="標楷體" w:cs="Times New Roman"/>
                <w:szCs w:val="24"/>
              </w:rPr>
            </w:pPr>
          </w:p>
        </w:tc>
        <w:tc>
          <w:tcPr>
            <w:tcW w:w="1250" w:type="pct"/>
            <w:vMerge w:val="restart"/>
            <w:vAlign w:val="center"/>
          </w:tcPr>
          <w:p w:rsidR="0094325E" w:rsidRPr="001315C3" w:rsidRDefault="0094325E" w:rsidP="00DB3D8B">
            <w:pPr>
              <w:jc w:val="center"/>
              <w:rPr>
                <w:rFonts w:ascii="標楷體" w:eastAsia="標楷體" w:hAnsi="標楷體" w:cs="Times New Roman"/>
                <w:szCs w:val="24"/>
              </w:rPr>
            </w:pPr>
          </w:p>
        </w:tc>
      </w:tr>
      <w:tr w:rsidR="0094325E" w:rsidRPr="001315C3" w:rsidTr="00DB3D8B">
        <w:trPr>
          <w:trHeight w:val="809"/>
        </w:trPr>
        <w:tc>
          <w:tcPr>
            <w:tcW w:w="1198" w:type="pct"/>
            <w:vAlign w:val="center"/>
          </w:tcPr>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火災自負額5萬元</w:t>
            </w:r>
          </w:p>
        </w:tc>
        <w:tc>
          <w:tcPr>
            <w:tcW w:w="1301" w:type="pct"/>
            <w:vAlign w:val="center"/>
          </w:tcPr>
          <w:p w:rsidR="0094325E" w:rsidRPr="001315C3" w:rsidRDefault="0094325E" w:rsidP="00DB3D8B">
            <w:pPr>
              <w:jc w:val="center"/>
              <w:rPr>
                <w:rFonts w:ascii="標楷體" w:eastAsia="標楷體" w:hAnsi="標楷體" w:cs="Times New Roman"/>
                <w:szCs w:val="24"/>
              </w:rPr>
            </w:pPr>
          </w:p>
        </w:tc>
        <w:tc>
          <w:tcPr>
            <w:tcW w:w="1250" w:type="pct"/>
            <w:vMerge/>
            <w:vAlign w:val="center"/>
          </w:tcPr>
          <w:p w:rsidR="0094325E" w:rsidRPr="001315C3" w:rsidRDefault="0094325E" w:rsidP="00DB3D8B">
            <w:pPr>
              <w:jc w:val="center"/>
              <w:rPr>
                <w:rFonts w:ascii="標楷體" w:eastAsia="標楷體" w:hAnsi="標楷體" w:cs="Times New Roman"/>
                <w:szCs w:val="24"/>
              </w:rPr>
            </w:pPr>
          </w:p>
        </w:tc>
        <w:tc>
          <w:tcPr>
            <w:tcW w:w="1250" w:type="pct"/>
            <w:vMerge/>
            <w:vAlign w:val="center"/>
          </w:tcPr>
          <w:p w:rsidR="0094325E" w:rsidRPr="001315C3" w:rsidRDefault="0094325E" w:rsidP="00DB3D8B">
            <w:pPr>
              <w:jc w:val="center"/>
              <w:rPr>
                <w:rFonts w:ascii="標楷體" w:eastAsia="標楷體" w:hAnsi="標楷體" w:cs="Times New Roman"/>
                <w:szCs w:val="24"/>
              </w:rPr>
            </w:pPr>
          </w:p>
        </w:tc>
      </w:tr>
      <w:tr w:rsidR="0094325E" w:rsidRPr="001315C3" w:rsidTr="00DB3D8B">
        <w:trPr>
          <w:trHeight w:val="286"/>
        </w:trPr>
        <w:tc>
          <w:tcPr>
            <w:tcW w:w="1198" w:type="pct"/>
            <w:vMerge w:val="restart"/>
            <w:vAlign w:val="center"/>
          </w:tcPr>
          <w:p w:rsidR="0094325E" w:rsidRPr="001315C3" w:rsidRDefault="0094325E" w:rsidP="00DB3D8B">
            <w:pPr>
              <w:jc w:val="center"/>
              <w:rPr>
                <w:rFonts w:ascii="標楷體" w:eastAsia="標楷體" w:hAnsi="標楷體" w:cs="Times New Roman"/>
                <w:szCs w:val="24"/>
              </w:rPr>
            </w:pPr>
          </w:p>
        </w:tc>
        <w:tc>
          <w:tcPr>
            <w:tcW w:w="1301" w:type="pct"/>
            <w:vAlign w:val="center"/>
          </w:tcPr>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第一次減價</w:t>
            </w:r>
          </w:p>
        </w:tc>
        <w:tc>
          <w:tcPr>
            <w:tcW w:w="1250" w:type="pct"/>
            <w:vAlign w:val="center"/>
          </w:tcPr>
          <w:p w:rsidR="0094325E" w:rsidRPr="001315C3" w:rsidRDefault="0094325E" w:rsidP="00DB3D8B">
            <w:pPr>
              <w:jc w:val="center"/>
              <w:rPr>
                <w:rFonts w:ascii="標楷體" w:eastAsia="標楷體" w:hAnsi="標楷體" w:cs="Times New Roman"/>
                <w:szCs w:val="24"/>
              </w:rPr>
            </w:pPr>
            <w:bookmarkStart w:id="1" w:name="OLE_LINK1"/>
            <w:bookmarkStart w:id="2" w:name="OLE_LINK2"/>
            <w:bookmarkStart w:id="3" w:name="OLE_LINK3"/>
            <w:r w:rsidRPr="001315C3">
              <w:rPr>
                <w:rFonts w:ascii="標楷體" w:eastAsia="標楷體" w:hAnsi="標楷體" w:cs="Times New Roman" w:hint="eastAsia"/>
                <w:szCs w:val="24"/>
              </w:rPr>
              <w:t>第二次減價</w:t>
            </w:r>
            <w:bookmarkEnd w:id="1"/>
            <w:bookmarkEnd w:id="2"/>
            <w:bookmarkEnd w:id="3"/>
          </w:p>
        </w:tc>
        <w:tc>
          <w:tcPr>
            <w:tcW w:w="1250" w:type="pct"/>
            <w:vAlign w:val="center"/>
          </w:tcPr>
          <w:p w:rsidR="0094325E" w:rsidRPr="001315C3" w:rsidRDefault="0094325E" w:rsidP="00DB3D8B">
            <w:pPr>
              <w:jc w:val="center"/>
              <w:rPr>
                <w:rFonts w:ascii="標楷體" w:eastAsia="標楷體" w:hAnsi="標楷體" w:cs="Times New Roman"/>
                <w:szCs w:val="24"/>
              </w:rPr>
            </w:pPr>
            <w:r w:rsidRPr="001315C3">
              <w:rPr>
                <w:rFonts w:ascii="標楷體" w:eastAsia="標楷體" w:hAnsi="標楷體" w:cs="Times New Roman" w:hint="eastAsia"/>
                <w:szCs w:val="24"/>
              </w:rPr>
              <w:t>第三次減價</w:t>
            </w:r>
          </w:p>
        </w:tc>
      </w:tr>
      <w:tr w:rsidR="0094325E" w:rsidRPr="001315C3" w:rsidTr="00DB3D8B">
        <w:trPr>
          <w:trHeight w:val="723"/>
        </w:trPr>
        <w:tc>
          <w:tcPr>
            <w:tcW w:w="1198" w:type="pct"/>
            <w:vMerge/>
            <w:tcBorders>
              <w:bottom w:val="nil"/>
            </w:tcBorders>
            <w:vAlign w:val="center"/>
          </w:tcPr>
          <w:p w:rsidR="0094325E" w:rsidRPr="001315C3" w:rsidRDefault="0094325E" w:rsidP="00DB3D8B">
            <w:pPr>
              <w:jc w:val="center"/>
              <w:rPr>
                <w:rFonts w:ascii="標楷體" w:eastAsia="標楷體" w:hAnsi="標楷體" w:cs="Times New Roman"/>
                <w:szCs w:val="24"/>
              </w:rPr>
            </w:pPr>
          </w:p>
        </w:tc>
        <w:tc>
          <w:tcPr>
            <w:tcW w:w="1301" w:type="pct"/>
            <w:vAlign w:val="center"/>
          </w:tcPr>
          <w:p w:rsidR="0094325E" w:rsidRPr="001315C3" w:rsidRDefault="0094325E" w:rsidP="00DB3D8B">
            <w:pPr>
              <w:jc w:val="center"/>
              <w:rPr>
                <w:rFonts w:ascii="標楷體" w:eastAsia="標楷體" w:hAnsi="標楷體" w:cs="Times New Roman"/>
                <w:szCs w:val="24"/>
              </w:rPr>
            </w:pPr>
          </w:p>
        </w:tc>
        <w:tc>
          <w:tcPr>
            <w:tcW w:w="1250" w:type="pct"/>
            <w:vAlign w:val="center"/>
          </w:tcPr>
          <w:p w:rsidR="0094325E" w:rsidRPr="001315C3" w:rsidRDefault="0094325E" w:rsidP="00DB3D8B">
            <w:pPr>
              <w:jc w:val="center"/>
              <w:rPr>
                <w:rFonts w:ascii="標楷體" w:eastAsia="標楷體" w:hAnsi="標楷體" w:cs="Times New Roman"/>
                <w:szCs w:val="24"/>
              </w:rPr>
            </w:pPr>
          </w:p>
        </w:tc>
        <w:tc>
          <w:tcPr>
            <w:tcW w:w="1250" w:type="pct"/>
            <w:vAlign w:val="center"/>
          </w:tcPr>
          <w:p w:rsidR="0094325E" w:rsidRPr="001315C3" w:rsidRDefault="0094325E" w:rsidP="00DB3D8B">
            <w:pPr>
              <w:jc w:val="center"/>
              <w:rPr>
                <w:rFonts w:ascii="標楷體" w:eastAsia="標楷體" w:hAnsi="標楷體" w:cs="Times New Roman"/>
                <w:szCs w:val="24"/>
              </w:rPr>
            </w:pPr>
          </w:p>
        </w:tc>
      </w:tr>
      <w:tr w:rsidR="0094325E" w:rsidRPr="001315C3" w:rsidTr="0094325E">
        <w:trPr>
          <w:trHeight w:val="10025"/>
        </w:trPr>
        <w:tc>
          <w:tcPr>
            <w:tcW w:w="5000" w:type="pct"/>
            <w:gridSpan w:val="4"/>
            <w:tcBorders>
              <w:top w:val="nil"/>
            </w:tcBorders>
          </w:tcPr>
          <w:p w:rsidR="0094325E" w:rsidRPr="001315C3" w:rsidRDefault="0094325E" w:rsidP="00DB3D8B">
            <w:pPr>
              <w:snapToGrid w:val="0"/>
              <w:spacing w:line="360" w:lineRule="auto"/>
              <w:rPr>
                <w:rFonts w:ascii="標楷體" w:eastAsia="標楷體" w:hAnsi="標楷體" w:cs="Times New Roman"/>
                <w:szCs w:val="24"/>
              </w:rPr>
            </w:pPr>
            <w:r w:rsidRPr="001315C3">
              <w:rPr>
                <w:rFonts w:ascii="標楷體" w:eastAsia="標楷體" w:hAnsi="標楷體" w:cs="Times New Roman" w:hint="eastAsia"/>
                <w:szCs w:val="24"/>
              </w:rPr>
              <w:t>保險合約內容應包含下列事項：</w:t>
            </w: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1.</w:t>
            </w:r>
            <w:r w:rsidRPr="001315C3">
              <w:rPr>
                <w:rFonts w:ascii="標楷體" w:eastAsia="標楷體" w:hAnsi="標楷體" w:cs="Times New Roman" w:hint="eastAsia"/>
                <w:szCs w:val="24"/>
              </w:rPr>
              <w:tab/>
              <w:t>保險標的物之殘餘物價值歸屬。</w:t>
            </w:r>
          </w:p>
          <w:p w:rsidR="0094325E" w:rsidRPr="001315C3" w:rsidRDefault="0094325E" w:rsidP="00DB3D8B">
            <w:pPr>
              <w:spacing w:line="360" w:lineRule="auto"/>
              <w:ind w:left="480" w:hangingChars="200" w:hanging="480"/>
              <w:rPr>
                <w:rFonts w:ascii="標楷體" w:eastAsia="標楷體" w:hAnsi="標楷體" w:cs="Times New Roman"/>
                <w:szCs w:val="24"/>
              </w:rPr>
            </w:pPr>
            <w:r w:rsidRPr="001315C3">
              <w:rPr>
                <w:rFonts w:ascii="標楷體" w:eastAsia="標楷體" w:hAnsi="標楷體" w:cs="Times New Roman" w:hint="eastAsia"/>
                <w:szCs w:val="24"/>
              </w:rPr>
              <w:t>2.</w:t>
            </w:r>
            <w:r w:rsidRPr="001315C3">
              <w:rPr>
                <w:rFonts w:ascii="標楷體" w:eastAsia="標楷體" w:hAnsi="標楷體" w:cs="Times New Roman" w:hint="eastAsia"/>
                <w:szCs w:val="24"/>
              </w:rPr>
              <w:tab/>
              <w:t>標的物火災引起之救急與替代之費用，如各區</w:t>
            </w:r>
            <w:proofErr w:type="gramStart"/>
            <w:r w:rsidRPr="001315C3">
              <w:rPr>
                <w:rFonts w:ascii="標楷體" w:eastAsia="標楷體" w:hAnsi="標楷體" w:cs="Times New Roman" w:hint="eastAsia"/>
                <w:szCs w:val="24"/>
              </w:rPr>
              <w:t>變電室毀損</w:t>
            </w:r>
            <w:proofErr w:type="gramEnd"/>
            <w:r w:rsidRPr="001315C3">
              <w:rPr>
                <w:rFonts w:ascii="標楷體" w:eastAsia="標楷體" w:hAnsi="標楷體" w:cs="Times New Roman" w:hint="eastAsia"/>
                <w:szCs w:val="24"/>
              </w:rPr>
              <w:t>復原前，為了緊急供電所耗費之發電機油料、臨時接電材料、工資及補償住戶電費等之費用理賠。</w:t>
            </w: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3.</w:t>
            </w:r>
            <w:r w:rsidRPr="001315C3">
              <w:rPr>
                <w:rFonts w:ascii="標楷體" w:eastAsia="標楷體" w:hAnsi="標楷體" w:cs="Times New Roman" w:hint="eastAsia"/>
                <w:szCs w:val="24"/>
              </w:rPr>
              <w:tab/>
              <w:t>相關之消防設備損壞理賠。</w:t>
            </w: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4.</w:t>
            </w:r>
            <w:r w:rsidRPr="001315C3">
              <w:rPr>
                <w:rFonts w:ascii="標楷體" w:eastAsia="標楷體" w:hAnsi="標楷體" w:cs="Times New Roman" w:hint="eastAsia"/>
                <w:szCs w:val="24"/>
              </w:rPr>
              <w:tab/>
              <w:t>標的物之現場環境回復及衍生之環境回復清理費用理賠。</w:t>
            </w: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5.</w:t>
            </w:r>
            <w:r w:rsidRPr="001315C3">
              <w:rPr>
                <w:rFonts w:ascii="標楷體" w:eastAsia="標楷體" w:hAnsi="標楷體" w:cs="Times New Roman" w:hint="eastAsia"/>
                <w:szCs w:val="24"/>
              </w:rPr>
              <w:tab/>
              <w:t>設備</w:t>
            </w:r>
            <w:proofErr w:type="gramStart"/>
            <w:r w:rsidRPr="001315C3">
              <w:rPr>
                <w:rFonts w:ascii="標楷體" w:eastAsia="標楷體" w:hAnsi="標楷體" w:cs="Times New Roman" w:hint="eastAsia"/>
                <w:szCs w:val="24"/>
              </w:rPr>
              <w:t>採</w:t>
            </w:r>
            <w:proofErr w:type="gramEnd"/>
            <w:r w:rsidRPr="001315C3">
              <w:rPr>
                <w:rFonts w:ascii="標楷體" w:eastAsia="標楷體" w:hAnsi="標楷體" w:cs="Times New Roman" w:hint="eastAsia"/>
                <w:szCs w:val="24"/>
              </w:rPr>
              <w:t>重置金額理賠。</w:t>
            </w: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廠商名稱：                                  （簽章）</w:t>
            </w:r>
          </w:p>
          <w:p w:rsidR="0094325E" w:rsidRPr="001315C3" w:rsidRDefault="0094325E" w:rsidP="00DB3D8B">
            <w:pPr>
              <w:spacing w:line="360" w:lineRule="auto"/>
              <w:rPr>
                <w:rFonts w:ascii="標楷體" w:eastAsia="標楷體" w:hAnsi="標楷體" w:cs="Times New Roman"/>
                <w:szCs w:val="24"/>
              </w:rPr>
            </w:pP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統一編號：</w:t>
            </w:r>
          </w:p>
          <w:p w:rsidR="0094325E" w:rsidRPr="001315C3" w:rsidRDefault="0094325E" w:rsidP="00DB3D8B">
            <w:pPr>
              <w:spacing w:line="360" w:lineRule="auto"/>
              <w:rPr>
                <w:rFonts w:ascii="標楷體" w:eastAsia="標楷體" w:hAnsi="標楷體" w:cs="Times New Roman"/>
                <w:szCs w:val="24"/>
              </w:rPr>
            </w:pP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負責人：                                    （簽章）</w:t>
            </w:r>
          </w:p>
          <w:p w:rsidR="0094325E" w:rsidRPr="001315C3" w:rsidRDefault="0094325E" w:rsidP="00DB3D8B">
            <w:pPr>
              <w:spacing w:line="360" w:lineRule="auto"/>
              <w:rPr>
                <w:rFonts w:ascii="標楷體" w:eastAsia="標楷體" w:hAnsi="標楷體" w:cs="Times New Roman"/>
                <w:szCs w:val="24"/>
              </w:rPr>
            </w:pP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電話：</w:t>
            </w:r>
          </w:p>
          <w:p w:rsidR="0094325E" w:rsidRPr="001315C3" w:rsidRDefault="0094325E" w:rsidP="00DB3D8B">
            <w:pPr>
              <w:spacing w:line="360" w:lineRule="auto"/>
              <w:rPr>
                <w:rFonts w:ascii="標楷體" w:eastAsia="標楷體" w:hAnsi="標楷體" w:cs="Times New Roman"/>
                <w:szCs w:val="24"/>
              </w:rPr>
            </w:pPr>
          </w:p>
          <w:p w:rsidR="0094325E" w:rsidRPr="001315C3" w:rsidRDefault="0094325E" w:rsidP="00DB3D8B">
            <w:pPr>
              <w:spacing w:line="360" w:lineRule="auto"/>
              <w:rPr>
                <w:rFonts w:ascii="標楷體" w:eastAsia="標楷體" w:hAnsi="標楷體" w:cs="Times New Roman"/>
                <w:szCs w:val="24"/>
              </w:rPr>
            </w:pPr>
            <w:r w:rsidRPr="001315C3">
              <w:rPr>
                <w:rFonts w:ascii="標楷體" w:eastAsia="標楷體" w:hAnsi="標楷體" w:cs="Times New Roman" w:hint="eastAsia"/>
                <w:szCs w:val="24"/>
              </w:rPr>
              <w:t>地址：</w:t>
            </w:r>
          </w:p>
          <w:p w:rsidR="0094325E" w:rsidRPr="001315C3" w:rsidRDefault="0094325E" w:rsidP="00DB3D8B">
            <w:pPr>
              <w:rPr>
                <w:rFonts w:ascii="標楷體" w:eastAsia="標楷體" w:hAnsi="標楷體" w:cs="Times New Roman"/>
                <w:szCs w:val="24"/>
              </w:rPr>
            </w:pPr>
          </w:p>
          <w:p w:rsidR="0094325E" w:rsidRDefault="0094325E" w:rsidP="00DB3D8B">
            <w:pPr>
              <w:rPr>
                <w:rFonts w:ascii="標楷體" w:eastAsia="標楷體" w:hAnsi="標楷體" w:cs="Times New Roman"/>
                <w:szCs w:val="24"/>
              </w:rPr>
            </w:pPr>
          </w:p>
          <w:p w:rsidR="0094325E" w:rsidRDefault="0094325E" w:rsidP="0094325E">
            <w:pPr>
              <w:rPr>
                <w:rFonts w:ascii="標楷體" w:eastAsia="標楷體" w:hAnsi="標楷體" w:cs="Times New Roman"/>
                <w:szCs w:val="24"/>
              </w:rPr>
            </w:pPr>
          </w:p>
          <w:p w:rsidR="0094325E" w:rsidRPr="001315C3" w:rsidRDefault="0094325E" w:rsidP="0094325E">
            <w:pPr>
              <w:rPr>
                <w:rFonts w:ascii="標楷體" w:eastAsia="標楷體" w:hAnsi="標楷體" w:cs="Times New Roman"/>
                <w:szCs w:val="24"/>
              </w:rPr>
            </w:pPr>
            <w:r w:rsidRPr="0094325E">
              <w:rPr>
                <w:rFonts w:ascii="標楷體" w:eastAsia="標楷體" w:hAnsi="標楷體" w:cs="Times New Roman" w:hint="eastAsia"/>
                <w:szCs w:val="24"/>
              </w:rPr>
              <w:t>中        華        民        國             年             月             日</w:t>
            </w:r>
          </w:p>
        </w:tc>
      </w:tr>
    </w:tbl>
    <w:p w:rsidR="001B2F52" w:rsidRPr="0094325E" w:rsidRDefault="001B2F52" w:rsidP="0094325E">
      <w:pPr>
        <w:jc w:val="center"/>
        <w:rPr>
          <w:rFonts w:ascii="標楷體" w:eastAsia="標楷體" w:hAnsi="標楷體"/>
          <w:b/>
          <w:sz w:val="56"/>
          <w:szCs w:val="56"/>
        </w:rPr>
      </w:pPr>
    </w:p>
    <w:sectPr w:rsidR="001B2F52" w:rsidRPr="0094325E" w:rsidSect="00F36696">
      <w:pgSz w:w="11906" w:h="16838"/>
      <w:pgMar w:top="720"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1A" w:rsidRDefault="00745D1A" w:rsidP="00E77716">
      <w:r>
        <w:separator/>
      </w:r>
    </w:p>
  </w:endnote>
  <w:endnote w:type="continuationSeparator" w:id="0">
    <w:p w:rsidR="00745D1A" w:rsidRDefault="00745D1A" w:rsidP="00E7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全真楷書">
    <w:altName w:val="標楷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魏碑體(P)">
    <w:altName w:val="標楷體"/>
    <w:panose1 w:val="03000700000000000000"/>
    <w:charset w:val="88"/>
    <w:family w:val="script"/>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華康正顏楷體W9(P)">
    <w:panose1 w:val="03000900000000000000"/>
    <w:charset w:val="88"/>
    <w:family w:val="script"/>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1A" w:rsidRDefault="00745D1A" w:rsidP="00E77716">
      <w:r>
        <w:separator/>
      </w:r>
    </w:p>
  </w:footnote>
  <w:footnote w:type="continuationSeparator" w:id="0">
    <w:p w:rsidR="00745D1A" w:rsidRDefault="00745D1A" w:rsidP="00E77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556A"/>
    <w:multiLevelType w:val="hybridMultilevel"/>
    <w:tmpl w:val="F9749D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522485"/>
    <w:multiLevelType w:val="hybridMultilevel"/>
    <w:tmpl w:val="51FE0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ED01B5"/>
    <w:multiLevelType w:val="hybridMultilevel"/>
    <w:tmpl w:val="EBE2E83A"/>
    <w:lvl w:ilvl="0" w:tplc="E91A2A60">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1F815C75"/>
    <w:multiLevelType w:val="hybridMultilevel"/>
    <w:tmpl w:val="51FE0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6E25D4"/>
    <w:multiLevelType w:val="hybridMultilevel"/>
    <w:tmpl w:val="0268AAB4"/>
    <w:lvl w:ilvl="0" w:tplc="E91A2A60">
      <w:start w:val="1"/>
      <w:numFmt w:val="taiwaneseCountingThousand"/>
      <w:lvlText w:val="(%1)"/>
      <w:lvlJc w:val="left"/>
      <w:pPr>
        <w:ind w:left="1050" w:hanging="480"/>
      </w:pPr>
      <w:rPr>
        <w:rFonts w:hint="default"/>
      </w:rPr>
    </w:lvl>
    <w:lvl w:ilvl="1" w:tplc="5CCEB9DE">
      <w:start w:val="1"/>
      <w:numFmt w:val="decimal"/>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43E6213B"/>
    <w:multiLevelType w:val="hybridMultilevel"/>
    <w:tmpl w:val="45E824E2"/>
    <w:lvl w:ilvl="0" w:tplc="E91A2A60">
      <w:start w:val="1"/>
      <w:numFmt w:val="taiwaneseCountingThousand"/>
      <w:lvlText w:val="(%1)"/>
      <w:lvlJc w:val="left"/>
      <w:pPr>
        <w:ind w:left="1050" w:hanging="480"/>
      </w:pPr>
      <w:rPr>
        <w:rFonts w:hint="default"/>
      </w:rPr>
    </w:lvl>
    <w:lvl w:ilvl="1" w:tplc="5CCEB9DE">
      <w:start w:val="1"/>
      <w:numFmt w:val="decimal"/>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nsid w:val="44B515E7"/>
    <w:multiLevelType w:val="hybridMultilevel"/>
    <w:tmpl w:val="51FE0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FE01CB"/>
    <w:multiLevelType w:val="hybridMultilevel"/>
    <w:tmpl w:val="EBE2E83A"/>
    <w:lvl w:ilvl="0" w:tplc="E91A2A60">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56F12655"/>
    <w:multiLevelType w:val="hybridMultilevel"/>
    <w:tmpl w:val="51FE0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1F022F"/>
    <w:multiLevelType w:val="hybridMultilevel"/>
    <w:tmpl w:val="EBE2E83A"/>
    <w:lvl w:ilvl="0" w:tplc="E91A2A60">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nsid w:val="613C060B"/>
    <w:multiLevelType w:val="hybridMultilevel"/>
    <w:tmpl w:val="EBE2E83A"/>
    <w:lvl w:ilvl="0" w:tplc="E91A2A60">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nsid w:val="67A16843"/>
    <w:multiLevelType w:val="hybridMultilevel"/>
    <w:tmpl w:val="51FE0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ECB229C"/>
    <w:multiLevelType w:val="hybridMultilevel"/>
    <w:tmpl w:val="2C9A5ECC"/>
    <w:lvl w:ilvl="0" w:tplc="1960C9C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AB250A1"/>
    <w:multiLevelType w:val="singleLevel"/>
    <w:tmpl w:val="2730CE06"/>
    <w:lvl w:ilvl="0">
      <w:start w:val="1"/>
      <w:numFmt w:val="taiwaneseCountingThousand"/>
      <w:lvlText w:val="%1、"/>
      <w:legacy w:legacy="1" w:legacySpace="0" w:legacyIndent="570"/>
      <w:lvlJc w:val="left"/>
      <w:pPr>
        <w:ind w:left="854" w:hanging="570"/>
      </w:pPr>
      <w:rPr>
        <w:rFonts w:ascii="全真楷書" w:eastAsia="全真楷書" w:hint="eastAsia"/>
        <w:b w:val="0"/>
        <w:i w:val="0"/>
        <w:sz w:val="20"/>
        <w:szCs w:val="20"/>
        <w:u w:val="none"/>
        <w:lang w:val="en-US"/>
      </w:rPr>
    </w:lvl>
  </w:abstractNum>
  <w:abstractNum w:abstractNumId="14">
    <w:nsid w:val="7BB1053C"/>
    <w:multiLevelType w:val="hybridMultilevel"/>
    <w:tmpl w:val="E3BEAA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FB11A3"/>
    <w:multiLevelType w:val="hybridMultilevel"/>
    <w:tmpl w:val="BF9C6098"/>
    <w:lvl w:ilvl="0" w:tplc="534274F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12"/>
  </w:num>
  <w:num w:numId="4">
    <w:abstractNumId w:val="15"/>
  </w:num>
  <w:num w:numId="5">
    <w:abstractNumId w:val="1"/>
  </w:num>
  <w:num w:numId="6">
    <w:abstractNumId w:val="3"/>
  </w:num>
  <w:num w:numId="7">
    <w:abstractNumId w:val="11"/>
  </w:num>
  <w:num w:numId="8">
    <w:abstractNumId w:val="6"/>
  </w:num>
  <w:num w:numId="9">
    <w:abstractNumId w:val="14"/>
  </w:num>
  <w:num w:numId="10">
    <w:abstractNumId w:val="10"/>
  </w:num>
  <w:num w:numId="11">
    <w:abstractNumId w:val="9"/>
  </w:num>
  <w:num w:numId="12">
    <w:abstractNumId w:val="13"/>
  </w:num>
  <w:num w:numId="13">
    <w:abstractNumId w:val="7"/>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59"/>
    <w:rsid w:val="00044644"/>
    <w:rsid w:val="000E322D"/>
    <w:rsid w:val="000E3808"/>
    <w:rsid w:val="000F0FDE"/>
    <w:rsid w:val="000F3962"/>
    <w:rsid w:val="001074C4"/>
    <w:rsid w:val="00126773"/>
    <w:rsid w:val="00147EEA"/>
    <w:rsid w:val="00175532"/>
    <w:rsid w:val="00192F61"/>
    <w:rsid w:val="001930B6"/>
    <w:rsid w:val="001B2F52"/>
    <w:rsid w:val="00220468"/>
    <w:rsid w:val="00236889"/>
    <w:rsid w:val="00243A7A"/>
    <w:rsid w:val="00266288"/>
    <w:rsid w:val="00277F0A"/>
    <w:rsid w:val="00283A31"/>
    <w:rsid w:val="002A110C"/>
    <w:rsid w:val="002F5362"/>
    <w:rsid w:val="00323659"/>
    <w:rsid w:val="0032739A"/>
    <w:rsid w:val="00354175"/>
    <w:rsid w:val="00424A89"/>
    <w:rsid w:val="004850BA"/>
    <w:rsid w:val="004A4EFA"/>
    <w:rsid w:val="004E730B"/>
    <w:rsid w:val="004F365A"/>
    <w:rsid w:val="00517038"/>
    <w:rsid w:val="00573A02"/>
    <w:rsid w:val="005C2FEB"/>
    <w:rsid w:val="005E1F37"/>
    <w:rsid w:val="005F69A9"/>
    <w:rsid w:val="006215BE"/>
    <w:rsid w:val="00664A4D"/>
    <w:rsid w:val="006934AF"/>
    <w:rsid w:val="006A6C44"/>
    <w:rsid w:val="006F0AA3"/>
    <w:rsid w:val="007310C1"/>
    <w:rsid w:val="007330E1"/>
    <w:rsid w:val="00744229"/>
    <w:rsid w:val="00745D1A"/>
    <w:rsid w:val="00795F35"/>
    <w:rsid w:val="007E03F7"/>
    <w:rsid w:val="007E5002"/>
    <w:rsid w:val="00802AA9"/>
    <w:rsid w:val="00825790"/>
    <w:rsid w:val="00827E18"/>
    <w:rsid w:val="00857037"/>
    <w:rsid w:val="00865D8C"/>
    <w:rsid w:val="00875596"/>
    <w:rsid w:val="008922DA"/>
    <w:rsid w:val="008B5957"/>
    <w:rsid w:val="00932D5F"/>
    <w:rsid w:val="0094325E"/>
    <w:rsid w:val="009554FE"/>
    <w:rsid w:val="009827EF"/>
    <w:rsid w:val="00A06A74"/>
    <w:rsid w:val="00A06E42"/>
    <w:rsid w:val="00A2767F"/>
    <w:rsid w:val="00AD18EF"/>
    <w:rsid w:val="00AD7B73"/>
    <w:rsid w:val="00B247FA"/>
    <w:rsid w:val="00B622A8"/>
    <w:rsid w:val="00C41961"/>
    <w:rsid w:val="00CB0910"/>
    <w:rsid w:val="00D74390"/>
    <w:rsid w:val="00DB3D8B"/>
    <w:rsid w:val="00DD3B98"/>
    <w:rsid w:val="00E13561"/>
    <w:rsid w:val="00E265E1"/>
    <w:rsid w:val="00E44D28"/>
    <w:rsid w:val="00E4525B"/>
    <w:rsid w:val="00E5504B"/>
    <w:rsid w:val="00E56734"/>
    <w:rsid w:val="00E647CD"/>
    <w:rsid w:val="00E710E1"/>
    <w:rsid w:val="00E77716"/>
    <w:rsid w:val="00EA0CF8"/>
    <w:rsid w:val="00EB2A37"/>
    <w:rsid w:val="00EE5921"/>
    <w:rsid w:val="00F03C8D"/>
    <w:rsid w:val="00F36696"/>
    <w:rsid w:val="00F407FB"/>
    <w:rsid w:val="00F80994"/>
    <w:rsid w:val="00FB4868"/>
    <w:rsid w:val="00FD1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716"/>
    <w:pPr>
      <w:tabs>
        <w:tab w:val="center" w:pos="4153"/>
        <w:tab w:val="right" w:pos="8306"/>
      </w:tabs>
      <w:snapToGrid w:val="0"/>
    </w:pPr>
    <w:rPr>
      <w:sz w:val="20"/>
      <w:szCs w:val="20"/>
    </w:rPr>
  </w:style>
  <w:style w:type="character" w:customStyle="1" w:styleId="a5">
    <w:name w:val="頁首 字元"/>
    <w:basedOn w:val="a0"/>
    <w:link w:val="a4"/>
    <w:uiPriority w:val="99"/>
    <w:rsid w:val="00E77716"/>
    <w:rPr>
      <w:sz w:val="20"/>
      <w:szCs w:val="20"/>
    </w:rPr>
  </w:style>
  <w:style w:type="paragraph" w:styleId="a6">
    <w:name w:val="footer"/>
    <w:basedOn w:val="a"/>
    <w:link w:val="a7"/>
    <w:uiPriority w:val="99"/>
    <w:unhideWhenUsed/>
    <w:rsid w:val="00E77716"/>
    <w:pPr>
      <w:tabs>
        <w:tab w:val="center" w:pos="4153"/>
        <w:tab w:val="right" w:pos="8306"/>
      </w:tabs>
      <w:snapToGrid w:val="0"/>
    </w:pPr>
    <w:rPr>
      <w:sz w:val="20"/>
      <w:szCs w:val="20"/>
    </w:rPr>
  </w:style>
  <w:style w:type="character" w:customStyle="1" w:styleId="a7">
    <w:name w:val="頁尾 字元"/>
    <w:basedOn w:val="a0"/>
    <w:link w:val="a6"/>
    <w:uiPriority w:val="99"/>
    <w:rsid w:val="00E77716"/>
    <w:rPr>
      <w:sz w:val="20"/>
      <w:szCs w:val="20"/>
    </w:rPr>
  </w:style>
  <w:style w:type="paragraph" w:styleId="a8">
    <w:name w:val="List Paragraph"/>
    <w:basedOn w:val="a"/>
    <w:uiPriority w:val="34"/>
    <w:qFormat/>
    <w:rsid w:val="00283A31"/>
    <w:pPr>
      <w:ind w:leftChars="200" w:left="480"/>
    </w:pPr>
  </w:style>
  <w:style w:type="paragraph" w:styleId="3">
    <w:name w:val="Body Text Indent 3"/>
    <w:basedOn w:val="a"/>
    <w:link w:val="30"/>
    <w:rsid w:val="00E4525B"/>
    <w:pPr>
      <w:tabs>
        <w:tab w:val="left" w:pos="378"/>
        <w:tab w:val="left" w:pos="6960"/>
      </w:tabs>
      <w:ind w:left="-28" w:hanging="84"/>
      <w:jc w:val="both"/>
    </w:pPr>
    <w:rPr>
      <w:rFonts w:ascii="華康魏碑體(P)" w:eastAsia="標楷體" w:hAnsi="Times New Roman" w:cs="Times New Roman"/>
      <w:b/>
      <w:sz w:val="80"/>
      <w:szCs w:val="120"/>
    </w:rPr>
  </w:style>
  <w:style w:type="character" w:customStyle="1" w:styleId="30">
    <w:name w:val="本文縮排 3 字元"/>
    <w:basedOn w:val="a0"/>
    <w:link w:val="3"/>
    <w:rsid w:val="00E4525B"/>
    <w:rPr>
      <w:rFonts w:ascii="華康魏碑體(P)" w:eastAsia="標楷體" w:hAnsi="Times New Roman" w:cs="Times New Roman"/>
      <w:b/>
      <w:sz w:val="80"/>
      <w:szCs w:val="120"/>
    </w:rPr>
  </w:style>
  <w:style w:type="paragraph" w:customStyle="1" w:styleId="7">
    <w:name w:val="樣式7"/>
    <w:basedOn w:val="a"/>
    <w:rsid w:val="00F36696"/>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E5504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50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716"/>
    <w:pPr>
      <w:tabs>
        <w:tab w:val="center" w:pos="4153"/>
        <w:tab w:val="right" w:pos="8306"/>
      </w:tabs>
      <w:snapToGrid w:val="0"/>
    </w:pPr>
    <w:rPr>
      <w:sz w:val="20"/>
      <w:szCs w:val="20"/>
    </w:rPr>
  </w:style>
  <w:style w:type="character" w:customStyle="1" w:styleId="a5">
    <w:name w:val="頁首 字元"/>
    <w:basedOn w:val="a0"/>
    <w:link w:val="a4"/>
    <w:uiPriority w:val="99"/>
    <w:rsid w:val="00E77716"/>
    <w:rPr>
      <w:sz w:val="20"/>
      <w:szCs w:val="20"/>
    </w:rPr>
  </w:style>
  <w:style w:type="paragraph" w:styleId="a6">
    <w:name w:val="footer"/>
    <w:basedOn w:val="a"/>
    <w:link w:val="a7"/>
    <w:uiPriority w:val="99"/>
    <w:unhideWhenUsed/>
    <w:rsid w:val="00E77716"/>
    <w:pPr>
      <w:tabs>
        <w:tab w:val="center" w:pos="4153"/>
        <w:tab w:val="right" w:pos="8306"/>
      </w:tabs>
      <w:snapToGrid w:val="0"/>
    </w:pPr>
    <w:rPr>
      <w:sz w:val="20"/>
      <w:szCs w:val="20"/>
    </w:rPr>
  </w:style>
  <w:style w:type="character" w:customStyle="1" w:styleId="a7">
    <w:name w:val="頁尾 字元"/>
    <w:basedOn w:val="a0"/>
    <w:link w:val="a6"/>
    <w:uiPriority w:val="99"/>
    <w:rsid w:val="00E77716"/>
    <w:rPr>
      <w:sz w:val="20"/>
      <w:szCs w:val="20"/>
    </w:rPr>
  </w:style>
  <w:style w:type="paragraph" w:styleId="a8">
    <w:name w:val="List Paragraph"/>
    <w:basedOn w:val="a"/>
    <w:uiPriority w:val="34"/>
    <w:qFormat/>
    <w:rsid w:val="00283A31"/>
    <w:pPr>
      <w:ind w:leftChars="200" w:left="480"/>
    </w:pPr>
  </w:style>
  <w:style w:type="paragraph" w:styleId="3">
    <w:name w:val="Body Text Indent 3"/>
    <w:basedOn w:val="a"/>
    <w:link w:val="30"/>
    <w:rsid w:val="00E4525B"/>
    <w:pPr>
      <w:tabs>
        <w:tab w:val="left" w:pos="378"/>
        <w:tab w:val="left" w:pos="6960"/>
      </w:tabs>
      <w:ind w:left="-28" w:hanging="84"/>
      <w:jc w:val="both"/>
    </w:pPr>
    <w:rPr>
      <w:rFonts w:ascii="華康魏碑體(P)" w:eastAsia="標楷體" w:hAnsi="Times New Roman" w:cs="Times New Roman"/>
      <w:b/>
      <w:sz w:val="80"/>
      <w:szCs w:val="120"/>
    </w:rPr>
  </w:style>
  <w:style w:type="character" w:customStyle="1" w:styleId="30">
    <w:name w:val="本文縮排 3 字元"/>
    <w:basedOn w:val="a0"/>
    <w:link w:val="3"/>
    <w:rsid w:val="00E4525B"/>
    <w:rPr>
      <w:rFonts w:ascii="華康魏碑體(P)" w:eastAsia="標楷體" w:hAnsi="Times New Roman" w:cs="Times New Roman"/>
      <w:b/>
      <w:sz w:val="80"/>
      <w:szCs w:val="120"/>
    </w:rPr>
  </w:style>
  <w:style w:type="paragraph" w:customStyle="1" w:styleId="7">
    <w:name w:val="樣式7"/>
    <w:basedOn w:val="a"/>
    <w:rsid w:val="00F36696"/>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styleId="a9">
    <w:name w:val="Balloon Text"/>
    <w:basedOn w:val="a"/>
    <w:link w:val="aa"/>
    <w:uiPriority w:val="99"/>
    <w:semiHidden/>
    <w:unhideWhenUsed/>
    <w:rsid w:val="00E5504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50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2015-07-18T10:35:00Z</cp:lastPrinted>
  <dcterms:created xsi:type="dcterms:W3CDTF">2015-07-18T06:32:00Z</dcterms:created>
  <dcterms:modified xsi:type="dcterms:W3CDTF">2015-07-19T06:24:00Z</dcterms:modified>
</cp:coreProperties>
</file>